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FINT 508 — Guest Series: Four Sundays in November</w:t>
      </w:r>
    </w:p>
    <w:p>
      <w:pPr>
        <w:pStyle w:val="Heading2"/>
      </w:pPr>
      <w:r>
        <w:t>Hong Kong HRM anchored · 13 overseas master's students · computer lab · all English</w:t>
      </w:r>
    </w:p>
    <w:p>
      <w:r>
        <w:rPr>
          <w:b/>
        </w:rPr>
        <w:t>Course:</w:t>
      </w:r>
      <w:r>
        <w:t xml:space="preserve"> FINT 508 Human Resource Analytics for FinTech Management (HKSYU)</w:t>
      </w:r>
    </w:p>
    <w:p>
      <w:r>
        <w:rPr>
          <w:b/>
        </w:rPr>
        <w:t>Your role:</w:t>
      </w:r>
      <w:r>
        <w:t xml:space="preserve"> guest speaker · 4 sessions × 120 minutes · Sundays, November</w:t>
      </w:r>
    </w:p>
    <w:p>
      <w:r>
        <w:rPr>
          <w:b/>
        </w:rPr>
        <w:t>Course instructor:</w:t>
      </w:r>
      <w:r>
        <w:t xml:space="preserve"> Dr LEE, Tin Yun Philip — </w:t>
      </w:r>
      <w:r>
        <w:rPr>
          <w:b/>
        </w:rPr>
        <w:t>owns the technology content</w:t>
      </w:r>
    </w:p>
    <w:p>
      <w:r>
        <w:rPr>
          <w:b/>
        </w:rPr>
        <w:t>Delivery:</w:t>
      </w:r>
      <w:r>
        <w:t xml:space="preserve"> English throughout</w:t>
      </w:r>
    </w:p>
    <w:p>
      <w:r>
        <w:br w:type="page"/>
      </w:r>
    </w:p>
    <w:p>
      <w:pPr>
        <w:pStyle w:val="Heading2"/>
      </w:pPr>
      <w:r>
        <w:t>1. Your setup, and what each constraint changes</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What you told me</w:t>
            </w:r>
          </w:p>
        </w:tc>
        <w:tc>
          <w:tcPr>
            <w:tcW w:type="dxa" w:w="4824"/>
            <w:shd w:val="clear" w:fill="2E5496"/>
          </w:tcPr>
          <w:p>
            <w:pPr>
              <w:spacing w:after="40"/>
            </w:pPr>
            <w:r>
              <w:rPr>
                <w:b/>
                <w:color w:val="FFFFFF"/>
                <w:sz w:val="20"/>
              </w:rPr>
            </w:r>
            <w:r>
              <w:rPr>
                <w:b/>
                <w:color w:val="FFFFFF"/>
                <w:sz w:val="20"/>
              </w:rPr>
              <w:t>What it changes</w:t>
            </w:r>
          </w:p>
        </w:tc>
      </w:tr>
      <w:tr>
        <w:tc>
          <w:tcPr>
            <w:tcW w:type="dxa" w:w="4824"/>
          </w:tcPr>
          <w:p>
            <w:pPr>
              <w:spacing w:after="40"/>
            </w:pPr>
            <w:r>
              <w:rPr>
                <w:sz w:val="19"/>
              </w:rPr>
            </w:r>
            <w:r>
              <w:rPr>
                <w:b/>
                <w:sz w:val="19"/>
              </w:rPr>
              <w:t>Anchor the content in Hong Kong HRM</w:t>
            </w:r>
          </w:p>
        </w:tc>
        <w:tc>
          <w:tcPr>
            <w:tcW w:type="dxa" w:w="4824"/>
          </w:tcPr>
          <w:p>
            <w:pPr>
              <w:spacing w:after="40"/>
            </w:pPr>
            <w:r>
              <w:rPr>
                <w:sz w:val="19"/>
              </w:rPr>
            </w:r>
            <w:r>
              <w:rPr>
                <w:sz w:val="19"/>
              </w:rPr>
              <w:t xml:space="preserve">Hong Kong law and market practice is now the </w:t>
            </w:r>
            <w:r>
              <w:rPr>
                <w:b/>
                <w:sz w:val="19"/>
              </w:rPr>
              <w:t>spine</w:t>
            </w:r>
            <w:r>
              <w:rPr>
                <w:sz w:val="19"/>
              </w:rPr>
              <w:t xml:space="preserve"> of all four sessions (Section 3), not a backdrop. Students' home-market experience becomes a </w:t>
            </w:r>
            <w:r>
              <w:rPr>
                <w:i/>
                <w:sz w:val="19"/>
              </w:rPr>
              <w:t>contrast device</w:t>
            </w:r>
            <w:r>
              <w:rPr>
                <w:sz w:val="19"/>
              </w:rPr>
              <w:t>, used briefly, not the organising principle.</w:t>
            </w:r>
          </w:p>
        </w:tc>
      </w:tr>
      <w:tr>
        <w:tc>
          <w:tcPr>
            <w:tcW w:type="dxa" w:w="4824"/>
            <w:shd w:val="clear" w:fill="EEF3FA"/>
          </w:tcPr>
          <w:p>
            <w:pPr>
              <w:spacing w:after="40"/>
            </w:pPr>
            <w:r>
              <w:rPr>
                <w:sz w:val="19"/>
              </w:rPr>
            </w:r>
            <w:r>
              <w:rPr>
                <w:b/>
                <w:sz w:val="19"/>
              </w:rPr>
              <w:t>Four Sundays in November</w:t>
            </w:r>
          </w:p>
        </w:tc>
        <w:tc>
          <w:tcPr>
            <w:tcW w:type="dxa" w:w="4824"/>
            <w:shd w:val="clear" w:fill="EEF3FA"/>
          </w:tcPr>
          <w:p>
            <w:pPr>
              <w:spacing w:after="40"/>
            </w:pPr>
            <w:r>
              <w:rPr>
                <w:sz w:val="19"/>
              </w:rPr>
            </w:r>
            <w:r>
              <w:rPr>
                <w:sz w:val="19"/>
              </w:rPr>
              <w:t>One topic per Sunday, in lifecycle order, with callbacks so Sunday 4 tests what they assumed on Sunday 1.</w:t>
            </w:r>
          </w:p>
        </w:tc>
      </w:tr>
      <w:tr>
        <w:tc>
          <w:tcPr>
            <w:tcW w:type="dxa" w:w="4824"/>
          </w:tcPr>
          <w:p>
            <w:pPr>
              <w:spacing w:after="40"/>
            </w:pPr>
            <w:r>
              <w:rPr>
                <w:sz w:val="19"/>
              </w:rPr>
            </w:r>
            <w:r>
              <w:rPr>
                <w:b/>
                <w:sz w:val="19"/>
              </w:rPr>
              <w:t>~13 students</w:t>
            </w:r>
          </w:p>
        </w:tc>
        <w:tc>
          <w:tcPr>
            <w:tcW w:type="dxa" w:w="4824"/>
          </w:tcPr>
          <w:p>
            <w:pPr>
              <w:spacing w:after="40"/>
            </w:pPr>
            <w:r>
              <w:rPr>
                <w:sz w:val="19"/>
              </w:rPr>
            </w:r>
            <w:r>
              <w:rPr>
                <w:sz w:val="19"/>
              </w:rPr>
              <w:t>A seminar, not a lecture. Three groups of 4–5. Every group presents every time. You can know all 13 names by the end of Sunday 1.</w:t>
            </w:r>
          </w:p>
        </w:tc>
      </w:tr>
      <w:tr>
        <w:tc>
          <w:tcPr>
            <w:tcW w:type="dxa" w:w="4824"/>
            <w:shd w:val="clear" w:fill="EEF3FA"/>
          </w:tcPr>
          <w:p>
            <w:pPr>
              <w:spacing w:after="40"/>
            </w:pPr>
            <w:r>
              <w:rPr>
                <w:sz w:val="19"/>
              </w:rPr>
            </w:r>
            <w:r>
              <w:rPr>
                <w:b/>
                <w:sz w:val="19"/>
              </w:rPr>
              <w:t>Overseas master's students, studying in HK</w:t>
            </w:r>
          </w:p>
        </w:tc>
        <w:tc>
          <w:tcPr>
            <w:tcW w:type="dxa" w:w="4824"/>
            <w:shd w:val="clear" w:fill="EEF3FA"/>
          </w:tcPr>
          <w:p>
            <w:pPr>
              <w:spacing w:after="40"/>
            </w:pPr>
            <w:r>
              <w:rPr>
                <w:sz w:val="19"/>
              </w:rPr>
            </w:r>
            <w:r>
              <w:rPr>
                <w:sz w:val="19"/>
              </w:rPr>
              <w:t xml:space="preserve">Postgraduate level — do </w:t>
            </w:r>
            <w:r>
              <w:rPr>
                <w:b/>
                <w:sz w:val="19"/>
              </w:rPr>
              <w:t>not</w:t>
            </w:r>
            <w:r>
              <w:rPr>
                <w:sz w:val="19"/>
              </w:rPr>
              <w:t xml:space="preserve"> over-simplify. Many will have work experience. Crucially: </w:t>
            </w:r>
            <w:r>
              <w:rPr>
                <w:b/>
                <w:sz w:val="19"/>
              </w:rPr>
              <w:t>most of them intend to work in Hong Kong</w:t>
            </w:r>
            <w:r>
              <w:rPr>
                <w:sz w:val="19"/>
              </w:rPr>
              <w:t>, and Hong Kong's talent-admission schemes apply to them personally. That is your engagement hook (Section 3.3).</w:t>
            </w:r>
          </w:p>
        </w:tc>
      </w:tr>
      <w:tr>
        <w:tc>
          <w:tcPr>
            <w:tcW w:type="dxa" w:w="4824"/>
          </w:tcPr>
          <w:p>
            <w:pPr>
              <w:spacing w:after="40"/>
            </w:pPr>
            <w:r>
              <w:rPr>
                <w:sz w:val="19"/>
              </w:rPr>
            </w:r>
            <w:r>
              <w:rPr>
                <w:b/>
                <w:sz w:val="19"/>
              </w:rPr>
              <w:t>Computer lab, fixed rows, one PC each</w:t>
            </w:r>
          </w:p>
        </w:tc>
        <w:tc>
          <w:tcPr>
            <w:tcW w:type="dxa" w:w="4824"/>
          </w:tcPr>
          <w:p>
            <w:pPr>
              <w:spacing w:after="40"/>
            </w:pPr>
            <w:r>
              <w:rPr>
                <w:sz w:val="19"/>
              </w:rPr>
            </w:r>
            <w:r>
              <w:rPr>
                <w:sz w:val="19"/>
              </w:rPr>
              <w:t>This changes facilitation more than anything else on this list. No U-shape, no moving tables, screens between you and their faces. Section 4 rebuilds the classroom method around it — and turns the shared screen into an advantage.</w:t>
            </w:r>
          </w:p>
        </w:tc>
      </w:tr>
      <w:tr>
        <w:tc>
          <w:tcPr>
            <w:tcW w:type="dxa" w:w="4824"/>
            <w:shd w:val="clear" w:fill="EEF3FA"/>
          </w:tcPr>
          <w:p>
            <w:pPr>
              <w:spacing w:after="40"/>
            </w:pPr>
            <w:r>
              <w:rPr>
                <w:sz w:val="19"/>
              </w:rPr>
            </w:r>
            <w:r>
              <w:rPr>
                <w:b/>
                <w:sz w:val="19"/>
              </w:rPr>
              <w:t>All English</w:t>
            </w:r>
          </w:p>
        </w:tc>
        <w:tc>
          <w:tcPr>
            <w:tcW w:type="dxa" w:w="4824"/>
            <w:shd w:val="clear" w:fill="EEF3FA"/>
          </w:tcPr>
          <w:p>
            <w:pPr>
              <w:spacing w:after="40"/>
            </w:pPr>
            <w:r>
              <w:rPr>
                <w:sz w:val="19"/>
              </w:rPr>
            </w:r>
            <w:r>
              <w:rPr>
                <w:sz w:val="19"/>
              </w:rPr>
              <w:t>Everything in this document is delivery-ready English. Section 4.5 covers pace and vocabulary for a postgraduate non-native room.</w:t>
            </w:r>
          </w:p>
        </w:tc>
      </w:tr>
      <w:tr>
        <w:tc>
          <w:tcPr>
            <w:tcW w:type="dxa" w:w="4824"/>
          </w:tcPr>
          <w:p>
            <w:pPr>
              <w:spacing w:after="40"/>
            </w:pPr>
            <w:r>
              <w:rPr>
                <w:sz w:val="19"/>
              </w:rPr>
            </w:r>
            <w:r>
              <w:rPr>
                <w:b/>
                <w:sz w:val="19"/>
              </w:rPr>
              <w:t>Dr Lee covers the technology</w:t>
            </w:r>
          </w:p>
        </w:tc>
        <w:tc>
          <w:tcPr>
            <w:tcW w:type="dxa" w:w="4824"/>
          </w:tcPr>
          <w:p>
            <w:pPr>
              <w:spacing w:after="40"/>
            </w:pPr>
            <w:r>
              <w:rPr>
                <w:sz w:val="19"/>
              </w:rPr>
            </w:r>
            <w:r>
              <w:rPr>
                <w:sz w:val="19"/>
              </w:rPr>
              <w:t>You are the HRM, law and management voice. Technical questions get handed over — that's the agreed split, not a gap in you.</w:t>
            </w:r>
          </w:p>
        </w:tc>
      </w:tr>
      <w:tr>
        <w:tc>
          <w:tcPr>
            <w:tcW w:type="dxa" w:w="4824"/>
            <w:shd w:val="clear" w:fill="EEF3FA"/>
          </w:tcPr>
          <w:p>
            <w:pPr>
              <w:spacing w:after="40"/>
            </w:pPr>
            <w:r>
              <w:rPr>
                <w:sz w:val="19"/>
              </w:rPr>
            </w:r>
            <w:r>
              <w:rPr>
                <w:b/>
                <w:sz w:val="19"/>
              </w:rPr>
              <w:t>You introduce the four-analytics ladder, lightly</w:t>
            </w:r>
          </w:p>
        </w:tc>
        <w:tc>
          <w:tcPr>
            <w:tcW w:type="dxa" w:w="4824"/>
            <w:shd w:val="clear" w:fill="EEF3FA"/>
          </w:tcPr>
          <w:p>
            <w:pPr>
              <w:spacing w:after="40"/>
            </w:pPr>
            <w:r>
              <w:rPr>
                <w:sz w:val="19"/>
              </w:rPr>
            </w:r>
            <w:r>
              <w:rPr>
                <w:sz w:val="19"/>
              </w:rPr>
              <w:t>12 minutes on Sunday 1 (Section 5), then 90 seconds at the top of each later session.</w:t>
            </w:r>
          </w:p>
        </w:tc>
      </w:tr>
      <w:tr>
        <w:tc>
          <w:tcPr>
            <w:tcW w:type="dxa" w:w="4824"/>
          </w:tcPr>
          <w:p>
            <w:pPr>
              <w:spacing w:after="40"/>
            </w:pPr>
            <w:r>
              <w:rPr>
                <w:sz w:val="19"/>
              </w:rPr>
            </w:r>
            <w:r>
              <w:rPr>
                <w:b/>
                <w:sz w:val="19"/>
              </w:rPr>
              <w:t>Two full hours each, Sundays</w:t>
            </w:r>
          </w:p>
        </w:tc>
        <w:tc>
          <w:tcPr>
            <w:tcW w:type="dxa" w:w="4824"/>
          </w:tcPr>
          <w:p>
            <w:pPr>
              <w:spacing w:after="40"/>
            </w:pPr>
            <w:r>
              <w:rPr>
                <w:sz w:val="19"/>
              </w:rPr>
            </w:r>
            <w:r>
              <w:rPr>
                <w:sz w:val="19"/>
              </w:rPr>
              <w:t>Five changes of state per session. Nothing runs longer than 20 minutes.</w:t>
            </w:r>
          </w:p>
        </w:tc>
      </w:tr>
      <w:tr>
        <w:tc>
          <w:tcPr>
            <w:tcW w:type="dxa" w:w="4824"/>
            <w:shd w:val="clear" w:fill="EEF3FA"/>
          </w:tcPr>
          <w:p>
            <w:pPr>
              <w:spacing w:after="40"/>
            </w:pPr>
            <w:r>
              <w:rPr>
                <w:sz w:val="19"/>
              </w:rPr>
            </w:r>
            <w:r>
              <w:rPr>
                <w:b/>
                <w:sz w:val="19"/>
              </w:rPr>
              <w:t>Interaction and group discussion wanted</w:t>
            </w:r>
          </w:p>
        </w:tc>
        <w:tc>
          <w:tcPr>
            <w:tcW w:type="dxa" w:w="4824"/>
            <w:shd w:val="clear" w:fill="EEF3FA"/>
          </w:tcPr>
          <w:p>
            <w:pPr>
              <w:spacing w:after="40"/>
            </w:pPr>
            <w:r>
              <w:rPr>
                <w:sz w:val="19"/>
              </w:rPr>
            </w:r>
            <w:r>
              <w:rPr>
                <w:sz w:val="19"/>
              </w:rPr>
              <w:t>Roughly 45–55 of each 120 minutes is students working or talking.</w:t>
            </w:r>
          </w:p>
        </w:tc>
      </w:tr>
      <w:tr>
        <w:tc>
          <w:tcPr>
            <w:tcW w:type="dxa" w:w="4824"/>
          </w:tcPr>
          <w:p>
            <w:pPr>
              <w:spacing w:after="40"/>
            </w:pPr>
            <w:r>
              <w:rPr>
                <w:sz w:val="19"/>
              </w:rPr>
            </w:r>
            <w:r>
              <w:rPr>
                <w:b/>
                <w:sz w:val="19"/>
              </w:rPr>
              <w:t>Group project link — to decide with Dr Lee</w:t>
            </w:r>
          </w:p>
        </w:tc>
        <w:tc>
          <w:tcPr>
            <w:tcW w:type="dxa" w:w="4824"/>
          </w:tcPr>
          <w:p>
            <w:pPr>
              <w:spacing w:after="40"/>
            </w:pPr>
            <w:r>
              <w:rPr>
                <w:sz w:val="19"/>
              </w:rPr>
            </w:r>
            <w:r>
              <w:rPr>
                <w:sz w:val="19"/>
              </w:rPr>
              <w:t xml:space="preserve">Every session marks its </w:t>
            </w:r>
            <w:r>
              <w:rPr>
                <w:b/>
                <w:sz w:val="19"/>
              </w:rPr>
              <w:t>AT4 hook</w:t>
            </w:r>
            <w:r>
              <w:rPr>
                <w:sz w:val="19"/>
              </w:rPr>
              <w:t>. Switch them on later; nothing else changes.</w:t>
            </w:r>
          </w:p>
        </w:tc>
      </w:tr>
    </w:tbl>
    <w:p>
      <w:pPr>
        <w:spacing w:after="80"/>
      </w:pPr>
    </w:p>
    <w:p>
      <w:r>
        <w:br w:type="page"/>
      </w:r>
    </w:p>
    <w:p>
      <w:pPr>
        <w:pStyle w:val="Heading2"/>
      </w:pPr>
      <w:r>
        <w:t>2. The four Sundays</w:t>
      </w:r>
    </w:p>
    <w:p>
      <w:pPr>
        <w:spacing w:after="0" w:line="240" w:lineRule="auto"/>
      </w:pPr>
      <w:r>
        <w:rPr>
          <w:rFonts w:ascii="Consolas" w:hAnsi="Consolas" w:eastAsia="Consolas"/>
          <w:sz w:val="18"/>
        </w:rPr>
        <w:t xml:space="preserve">   SUNDAY 1            SUNDAY 2            SUNDAY 3            SUNDAY 4</w:t>
      </w:r>
    </w:p>
    <w:p>
      <w:pPr>
        <w:spacing w:after="0" w:line="240" w:lineRule="auto"/>
      </w:pPr>
      <w:r>
        <w:rPr>
          <w:rFonts w:ascii="Consolas" w:hAnsi="Consolas" w:eastAsia="Consolas"/>
          <w:sz w:val="18"/>
        </w:rPr>
        <w:t xml:space="preserve">   PLAN         →      GET          →      KEEP        →       LOSE</w:t>
      </w:r>
    </w:p>
    <w:p>
      <w:pPr>
        <w:spacing w:after="0" w:line="240" w:lineRule="auto"/>
      </w:pPr>
      <w:r>
        <w:rPr>
          <w:rFonts w:ascii="Consolas" w:hAnsi="Consolas" w:eastAsia="Consolas"/>
          <w:sz w:val="18"/>
        </w:rPr>
        <w:t xml:space="preserve">   Strategic           Recruitment         Compensation        Predicting</w:t>
      </w:r>
    </w:p>
    <w:p>
      <w:pPr>
        <w:spacing w:after="0" w:line="240" w:lineRule="auto"/>
      </w:pPr>
      <w:r>
        <w:rPr>
          <w:rFonts w:ascii="Consolas" w:hAnsi="Consolas" w:eastAsia="Consolas"/>
          <w:sz w:val="18"/>
        </w:rPr>
        <w:t xml:space="preserve">   Resourcing                              &amp; Benefits          Turnover</w:t>
      </w:r>
    </w:p>
    <w:p>
      <w:pPr>
        <w:spacing w:after="0" w:line="240" w:lineRule="auto"/>
      </w:pPr>
      <w:r>
        <w:rPr>
          <w:rFonts w:ascii="Consolas" w:hAnsi="Consolas" w:eastAsia="Consolas"/>
          <w:sz w:val="18"/>
        </w:rPr>
        <w:t xml:space="preserve">   ─────────────────────────────────────────────────────────────────────</w:t>
      </w:r>
    </w:p>
    <w:p>
      <w:pPr>
        <w:spacing w:after="0" w:line="240" w:lineRule="auto"/>
      </w:pPr>
      <w:r>
        <w:rPr>
          <w:rFonts w:ascii="Consolas" w:hAnsi="Consolas" w:eastAsia="Consolas"/>
          <w:sz w:val="18"/>
        </w:rPr>
        <w:t xml:space="preserve">   HK talent           HK screening        HKMA CG-5,          HK notice</w:t>
      </w:r>
    </w:p>
    <w:p>
      <w:pPr>
        <w:spacing w:after="0" w:line="240" w:lineRule="auto"/>
      </w:pPr>
      <w:r>
        <w:rPr>
          <w:rFonts w:ascii="Consolas" w:hAnsi="Consolas" w:eastAsia="Consolas"/>
          <w:sz w:val="18"/>
        </w:rPr>
        <w:t xml:space="preserve">   admission,          law, PCPD HR        MPF, pay            periods, visa-</w:t>
      </w:r>
    </w:p>
    <w:p>
      <w:pPr>
        <w:spacing w:after="0" w:line="240" w:lineRule="auto"/>
      </w:pPr>
      <w:r>
        <w:rPr>
          <w:rFonts w:ascii="Consolas" w:hAnsi="Consolas" w:eastAsia="Consolas"/>
          <w:sz w:val="18"/>
        </w:rPr>
        <w:t xml:space="preserve">   ECF, notice         Code, the age       transparency        linked exits,</w:t>
      </w:r>
    </w:p>
    <w:p>
      <w:pPr>
        <w:spacing w:after="0" w:line="240" w:lineRule="auto"/>
      </w:pPr>
      <w:r>
        <w:rPr>
          <w:rFonts w:ascii="Consolas" w:hAnsi="Consolas" w:eastAsia="Consolas"/>
          <w:sz w:val="18"/>
        </w:rPr>
        <w:t xml:space="preserve">   &amp; MPF costs         discrimination      (or its             risk scores as</w:t>
      </w:r>
    </w:p>
    <w:p>
      <w:pPr>
        <w:spacing w:after="0" w:line="240" w:lineRule="auto"/>
      </w:pPr>
      <w:r>
        <w:rPr>
          <w:rFonts w:ascii="Consolas" w:hAnsi="Consolas" w:eastAsia="Consolas"/>
          <w:sz w:val="18"/>
        </w:rPr>
        <w:t xml:space="preserve">                       gap                 absence)            personal data</w:t>
      </w:r>
    </w:p>
    <w:p>
      <w:pPr>
        <w:spacing w:after="80"/>
      </w:pP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2E5496"/>
          </w:tcPr>
          <w:p>
            <w:pPr>
              <w:spacing w:after="40"/>
            </w:pPr>
            <w:r>
              <w:rPr>
                <w:b/>
                <w:color w:val="FFFFFF"/>
                <w:sz w:val="20"/>
              </w:rPr>
            </w:r>
            <w:r>
              <w:rPr>
                <w:b/>
                <w:color w:val="FFFFFF"/>
                <w:sz w:val="20"/>
              </w:rPr>
              <w:t>Sunday</w:t>
            </w:r>
          </w:p>
        </w:tc>
        <w:tc>
          <w:tcPr>
            <w:tcW w:type="dxa" w:w="1930"/>
            <w:shd w:val="clear" w:fill="2E5496"/>
          </w:tcPr>
          <w:p>
            <w:pPr>
              <w:spacing w:after="40"/>
            </w:pPr>
            <w:r>
              <w:rPr>
                <w:b/>
                <w:color w:val="FFFFFF"/>
                <w:sz w:val="20"/>
              </w:rPr>
            </w:r>
            <w:r>
              <w:rPr>
                <w:b/>
                <w:color w:val="FFFFFF"/>
                <w:sz w:val="20"/>
              </w:rPr>
              <w:t>Topic</w:t>
            </w:r>
          </w:p>
        </w:tc>
        <w:tc>
          <w:tcPr>
            <w:tcW w:type="dxa" w:w="1930"/>
            <w:shd w:val="clear" w:fill="2E5496"/>
          </w:tcPr>
          <w:p>
            <w:pPr>
              <w:spacing w:after="40"/>
            </w:pPr>
            <w:r>
              <w:rPr>
                <w:b/>
                <w:color w:val="FFFFFF"/>
                <w:sz w:val="20"/>
              </w:rPr>
            </w:r>
            <w:r>
              <w:rPr>
                <w:b/>
                <w:color w:val="FFFFFF"/>
                <w:sz w:val="20"/>
              </w:rPr>
              <w:t>Course lesson</w:t>
            </w:r>
          </w:p>
        </w:tc>
        <w:tc>
          <w:tcPr>
            <w:tcW w:type="dxa" w:w="1930"/>
            <w:shd w:val="clear" w:fill="2E5496"/>
          </w:tcPr>
          <w:p>
            <w:pPr>
              <w:spacing w:after="40"/>
            </w:pPr>
            <w:r>
              <w:rPr>
                <w:b/>
                <w:color w:val="FFFFFF"/>
                <w:sz w:val="20"/>
              </w:rPr>
            </w:r>
            <w:r>
              <w:rPr>
                <w:b/>
                <w:color w:val="FFFFFF"/>
                <w:sz w:val="20"/>
              </w:rPr>
              <w:t>Opens with</w:t>
            </w:r>
          </w:p>
        </w:tc>
        <w:tc>
          <w:tcPr>
            <w:tcW w:type="dxa" w:w="1930"/>
            <w:shd w:val="clear" w:fill="2E5496"/>
          </w:tcPr>
          <w:p>
            <w:pPr>
              <w:spacing w:after="40"/>
            </w:pPr>
            <w:r>
              <w:rPr>
                <w:b/>
                <w:color w:val="FFFFFF"/>
                <w:sz w:val="20"/>
              </w:rPr>
            </w:r>
            <w:r>
              <w:rPr>
                <w:b/>
                <w:color w:val="FFFFFF"/>
                <w:sz w:val="20"/>
              </w:rPr>
              <w:t>Closes with</w:t>
            </w:r>
          </w:p>
        </w:tc>
      </w:tr>
      <w:tr>
        <w:tc>
          <w:tcPr>
            <w:tcW w:type="dxa" w:w="1930"/>
          </w:tcPr>
          <w:p>
            <w:pPr>
              <w:spacing w:after="40"/>
            </w:pPr>
            <w:r>
              <w:rPr>
                <w:sz w:val="19"/>
              </w:rPr>
            </w:r>
            <w:r>
              <w:rPr>
                <w:sz w:val="19"/>
              </w:rPr>
              <w:t>1</w:t>
            </w:r>
          </w:p>
        </w:tc>
        <w:tc>
          <w:tcPr>
            <w:tcW w:type="dxa" w:w="1930"/>
          </w:tcPr>
          <w:p>
            <w:pPr>
              <w:spacing w:after="40"/>
            </w:pPr>
            <w:r>
              <w:rPr>
                <w:sz w:val="19"/>
              </w:rPr>
            </w:r>
            <w:r>
              <w:rPr>
                <w:sz w:val="19"/>
              </w:rPr>
              <w:t>Strategic Resourcing</w:t>
            </w:r>
          </w:p>
        </w:tc>
        <w:tc>
          <w:tcPr>
            <w:tcW w:type="dxa" w:w="1930"/>
          </w:tcPr>
          <w:p>
            <w:pPr>
              <w:spacing w:after="40"/>
            </w:pPr>
            <w:r>
              <w:rPr>
                <w:sz w:val="19"/>
              </w:rPr>
            </w:r>
            <w:r>
              <w:rPr>
                <w:sz w:val="19"/>
              </w:rPr>
              <w:t>L6</w:t>
            </w:r>
          </w:p>
        </w:tc>
        <w:tc>
          <w:tcPr>
            <w:tcW w:type="dxa" w:w="1930"/>
          </w:tcPr>
          <w:p>
            <w:pPr>
              <w:spacing w:after="40"/>
            </w:pPr>
            <w:r>
              <w:rPr>
                <w:sz w:val="19"/>
              </w:rPr>
            </w:r>
            <w:r>
              <w:rPr>
                <w:sz w:val="19"/>
              </w:rPr>
              <w:t>The four-analytics ladder (12 min)</w:t>
            </w:r>
          </w:p>
        </w:tc>
        <w:tc>
          <w:tcPr>
            <w:tcW w:type="dxa" w:w="1930"/>
          </w:tcPr>
          <w:p>
            <w:pPr>
              <w:spacing w:after="40"/>
            </w:pPr>
            <w:r>
              <w:rPr>
                <w:sz w:val="19"/>
              </w:rPr>
            </w:r>
            <w:r>
              <w:rPr>
                <w:sz w:val="19"/>
              </w:rPr>
              <w:t>A workforce plan they built</w:t>
            </w:r>
          </w:p>
        </w:tc>
      </w:tr>
      <w:tr>
        <w:tc>
          <w:tcPr>
            <w:tcW w:type="dxa" w:w="1930"/>
            <w:shd w:val="clear" w:fill="EEF3FA"/>
          </w:tcPr>
          <w:p>
            <w:pPr>
              <w:spacing w:after="40"/>
            </w:pPr>
            <w:r>
              <w:rPr>
                <w:sz w:val="19"/>
              </w:rPr>
            </w:r>
            <w:r>
              <w:rPr>
                <w:sz w:val="19"/>
              </w:rPr>
              <w:t>2</w:t>
            </w:r>
          </w:p>
        </w:tc>
        <w:tc>
          <w:tcPr>
            <w:tcW w:type="dxa" w:w="1930"/>
            <w:shd w:val="clear" w:fill="EEF3FA"/>
          </w:tcPr>
          <w:p>
            <w:pPr>
              <w:spacing w:after="40"/>
            </w:pPr>
            <w:r>
              <w:rPr>
                <w:sz w:val="19"/>
              </w:rPr>
            </w:r>
            <w:r>
              <w:rPr>
                <w:sz w:val="19"/>
              </w:rPr>
              <w:t>Recruitment</w:t>
            </w:r>
          </w:p>
        </w:tc>
        <w:tc>
          <w:tcPr>
            <w:tcW w:type="dxa" w:w="1930"/>
            <w:shd w:val="clear" w:fill="EEF3FA"/>
          </w:tcPr>
          <w:p>
            <w:pPr>
              <w:spacing w:after="40"/>
            </w:pPr>
            <w:r>
              <w:rPr>
                <w:sz w:val="19"/>
              </w:rPr>
            </w:r>
            <w:r>
              <w:rPr>
                <w:sz w:val="19"/>
              </w:rPr>
              <w:t>L7</w:t>
            </w:r>
          </w:p>
        </w:tc>
        <w:tc>
          <w:tcPr>
            <w:tcW w:type="dxa" w:w="1930"/>
            <w:shd w:val="clear" w:fill="EEF3FA"/>
          </w:tcPr>
          <w:p>
            <w:pPr>
              <w:spacing w:after="40"/>
            </w:pPr>
            <w:r>
              <w:rPr>
                <w:sz w:val="19"/>
              </w:rPr>
            </w:r>
            <w:r>
              <w:rPr>
                <w:i/>
                <w:sz w:val="19"/>
              </w:rPr>
              <w:t>"Your plan says 60 hires. Now find them — legally."</w:t>
            </w:r>
          </w:p>
        </w:tc>
        <w:tc>
          <w:tcPr>
            <w:tcW w:type="dxa" w:w="1930"/>
            <w:shd w:val="clear" w:fill="EEF3FA"/>
          </w:tcPr>
          <w:p>
            <w:pPr>
              <w:spacing w:after="40"/>
            </w:pPr>
            <w:r>
              <w:rPr>
                <w:sz w:val="19"/>
              </w:rPr>
            </w:r>
            <w:r>
              <w:rPr>
                <w:sz w:val="19"/>
              </w:rPr>
              <w:t>A fairness audit they ran</w:t>
            </w:r>
          </w:p>
        </w:tc>
      </w:tr>
      <w:tr>
        <w:tc>
          <w:tcPr>
            <w:tcW w:type="dxa" w:w="1930"/>
          </w:tcPr>
          <w:p>
            <w:pPr>
              <w:spacing w:after="40"/>
            </w:pPr>
            <w:r>
              <w:rPr>
                <w:sz w:val="19"/>
              </w:rPr>
            </w:r>
            <w:r>
              <w:rPr>
                <w:sz w:val="19"/>
              </w:rPr>
              <w:t>3</w:t>
            </w:r>
          </w:p>
        </w:tc>
        <w:tc>
          <w:tcPr>
            <w:tcW w:type="dxa" w:w="1930"/>
          </w:tcPr>
          <w:p>
            <w:pPr>
              <w:spacing w:after="40"/>
            </w:pPr>
            <w:r>
              <w:rPr>
                <w:sz w:val="19"/>
              </w:rPr>
            </w:r>
            <w:r>
              <w:rPr>
                <w:sz w:val="19"/>
              </w:rPr>
              <w:t>Compensation &amp; Benefits</w:t>
            </w:r>
          </w:p>
        </w:tc>
        <w:tc>
          <w:tcPr>
            <w:tcW w:type="dxa" w:w="1930"/>
          </w:tcPr>
          <w:p>
            <w:pPr>
              <w:spacing w:after="40"/>
            </w:pPr>
            <w:r>
              <w:rPr>
                <w:sz w:val="19"/>
              </w:rPr>
            </w:r>
            <w:r>
              <w:rPr>
                <w:sz w:val="19"/>
              </w:rPr>
              <w:t>L8</w:t>
            </w:r>
          </w:p>
        </w:tc>
        <w:tc>
          <w:tcPr>
            <w:tcW w:type="dxa" w:w="1930"/>
          </w:tcPr>
          <w:p>
            <w:pPr>
              <w:spacing w:after="40"/>
            </w:pPr>
            <w:r>
              <w:rPr>
                <w:sz w:val="19"/>
              </w:rPr>
            </w:r>
            <w:r>
              <w:rPr>
                <w:i/>
                <w:sz w:val="19"/>
              </w:rPr>
              <w:t>"You hired them. What do you pay them?"</w:t>
            </w:r>
          </w:p>
        </w:tc>
        <w:tc>
          <w:tcPr>
            <w:tcW w:type="dxa" w:w="1930"/>
          </w:tcPr>
          <w:p>
            <w:pPr>
              <w:spacing w:after="40"/>
            </w:pPr>
            <w:r>
              <w:rPr>
                <w:sz w:val="19"/>
              </w:rPr>
            </w:r>
            <w:r>
              <w:rPr>
                <w:i/>
                <w:sz w:val="19"/>
              </w:rPr>
              <w:t>"Did the HK$3m work?"</w:t>
            </w:r>
          </w:p>
        </w:tc>
      </w:tr>
      <w:tr>
        <w:tc>
          <w:tcPr>
            <w:tcW w:type="dxa" w:w="1930"/>
            <w:shd w:val="clear" w:fill="EEF3FA"/>
          </w:tcPr>
          <w:p>
            <w:pPr>
              <w:spacing w:after="40"/>
            </w:pPr>
            <w:r>
              <w:rPr>
                <w:sz w:val="19"/>
              </w:rPr>
            </w:r>
            <w:r>
              <w:rPr>
                <w:sz w:val="19"/>
              </w:rPr>
              <w:t>4</w:t>
            </w:r>
          </w:p>
        </w:tc>
        <w:tc>
          <w:tcPr>
            <w:tcW w:type="dxa" w:w="1930"/>
            <w:shd w:val="clear" w:fill="EEF3FA"/>
          </w:tcPr>
          <w:p>
            <w:pPr>
              <w:spacing w:after="40"/>
            </w:pPr>
            <w:r>
              <w:rPr>
                <w:sz w:val="19"/>
              </w:rPr>
            </w:r>
            <w:r>
              <w:rPr>
                <w:sz w:val="19"/>
              </w:rPr>
              <w:t>Predicting Turnover</w:t>
            </w:r>
          </w:p>
        </w:tc>
        <w:tc>
          <w:tcPr>
            <w:tcW w:type="dxa" w:w="1930"/>
            <w:shd w:val="clear" w:fill="EEF3FA"/>
          </w:tcPr>
          <w:p>
            <w:pPr>
              <w:spacing w:after="40"/>
            </w:pPr>
            <w:r>
              <w:rPr>
                <w:sz w:val="19"/>
              </w:rPr>
            </w:r>
            <w:r>
              <w:rPr>
                <w:sz w:val="19"/>
              </w:rPr>
              <w:t>L4</w:t>
            </w:r>
          </w:p>
        </w:tc>
        <w:tc>
          <w:tcPr>
            <w:tcW w:type="dxa" w:w="1930"/>
            <w:shd w:val="clear" w:fill="EEF3FA"/>
          </w:tcPr>
          <w:p>
            <w:pPr>
              <w:spacing w:after="40"/>
            </w:pPr>
            <w:r>
              <w:rPr>
                <w:sz w:val="19"/>
              </w:rPr>
            </w:r>
            <w:r>
              <w:rPr>
                <w:i/>
                <w:sz w:val="19"/>
              </w:rPr>
              <w:t>"In Session 1 you planned 60 hires. A quarter are leaving."</w:t>
            </w:r>
          </w:p>
        </w:tc>
        <w:tc>
          <w:tcPr>
            <w:tcW w:type="dxa" w:w="1930"/>
            <w:shd w:val="clear" w:fill="EEF3FA"/>
          </w:tcPr>
          <w:p>
            <w:pPr>
              <w:spacing w:after="40"/>
            </w:pPr>
            <w:r>
              <w:rPr>
                <w:sz w:val="19"/>
              </w:rPr>
            </w:r>
            <w:r>
              <w:rPr>
                <w:sz w:val="19"/>
              </w:rPr>
              <w:t>The whole arc, closed</w:t>
            </w:r>
          </w:p>
        </w:tc>
      </w:tr>
    </w:tbl>
    <w:p>
      <w:pPr>
        <w:spacing w:after="80"/>
      </w:pPr>
    </w:p>
    <w:p>
      <w:r>
        <w:rPr>
          <w:b/>
        </w:rPr>
        <w:t>The callback structure is the point.</w:t>
      </w:r>
      <w:r>
        <w:t xml:space="preserve"> Four separate guest talks are forgettable. Four sessions where Sunday 4 punishes the assumptions they made on Sunday 1 is a course. Say the callback out loud each week.</w:t>
      </w:r>
    </w:p>
    <w:p>
      <w:r>
        <w:br w:type="page"/>
      </w:r>
    </w:p>
    <w:p>
      <w:pPr>
        <w:pStyle w:val="Heading2"/>
      </w:pPr>
      <w:r>
        <w:t>3. The Hong Kong spine</w:t>
      </w:r>
    </w:p>
    <w:p>
      <w:r>
        <w:t>This is the content that makes your four sessions worth attending — it is what they came to Hong Kong for, and it is not in the international textbook they've been assigned.</w:t>
      </w:r>
    </w:p>
    <w:p>
      <w:pPr>
        <w:pStyle w:val="Heading3"/>
      </w:pPr>
      <w:r>
        <w:t>3.1 The Hong Kong facts that anchor each session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Sunday</w:t>
            </w:r>
          </w:p>
        </w:tc>
        <w:tc>
          <w:tcPr>
            <w:tcW w:type="dxa" w:w="3216"/>
            <w:shd w:val="clear" w:fill="2E5496"/>
          </w:tcPr>
          <w:p>
            <w:pPr>
              <w:spacing w:after="40"/>
            </w:pPr>
            <w:r>
              <w:rPr>
                <w:b/>
                <w:color w:val="FFFFFF"/>
                <w:sz w:val="20"/>
              </w:rPr>
            </w:r>
            <w:r>
              <w:rPr>
                <w:b/>
                <w:color w:val="FFFFFF"/>
                <w:sz w:val="20"/>
              </w:rPr>
              <w:t>Hong Kong anchor</w:t>
            </w:r>
          </w:p>
        </w:tc>
        <w:tc>
          <w:tcPr>
            <w:tcW w:type="dxa" w:w="3216"/>
            <w:shd w:val="clear" w:fill="2E5496"/>
          </w:tcPr>
          <w:p>
            <w:pPr>
              <w:spacing w:after="40"/>
            </w:pPr>
            <w:r>
              <w:rPr>
                <w:b/>
                <w:color w:val="FFFFFF"/>
                <w:sz w:val="20"/>
              </w:rPr>
            </w:r>
            <w:r>
              <w:rPr>
                <w:b/>
                <w:color w:val="FFFFFF"/>
                <w:sz w:val="20"/>
              </w:rPr>
              <w:t>Why it changes the analytics</w:t>
            </w:r>
          </w:p>
        </w:tc>
      </w:tr>
      <w:tr>
        <w:tc>
          <w:tcPr>
            <w:tcW w:type="dxa" w:w="3216"/>
          </w:tcPr>
          <w:p>
            <w:pPr>
              <w:spacing w:after="40"/>
            </w:pPr>
            <w:r>
              <w:rPr>
                <w:sz w:val="19"/>
              </w:rPr>
            </w:r>
            <w:r>
              <w:rPr>
                <w:b/>
                <w:sz w:val="19"/>
              </w:rPr>
              <w:t>1 Resourcing</w:t>
            </w:r>
          </w:p>
        </w:tc>
        <w:tc>
          <w:tcPr>
            <w:tcW w:type="dxa" w:w="3216"/>
          </w:tcPr>
          <w:p>
            <w:pPr>
              <w:spacing w:after="40"/>
            </w:pPr>
            <w:r>
              <w:rPr>
                <w:sz w:val="19"/>
              </w:rPr>
            </w:r>
            <w:r>
              <w:rPr>
                <w:sz w:val="19"/>
              </w:rPr>
              <w:t xml:space="preserve">Employment Ordinance (Cap. 57): continuous contract ("4-18") rule; one month's notice or payment in lieu is the common contractual position; termination </w:t>
            </w:r>
            <w:r>
              <w:rPr>
                <w:b/>
                <w:sz w:val="19"/>
              </w:rPr>
              <w:t>with notice and without stated cause is lawful</w:t>
            </w:r>
          </w:p>
        </w:tc>
        <w:tc>
          <w:tcPr>
            <w:tcW w:type="dxa" w:w="3216"/>
          </w:tcPr>
          <w:p>
            <w:pPr>
              <w:spacing w:after="40"/>
            </w:pPr>
            <w:r>
              <w:rPr>
                <w:sz w:val="19"/>
              </w:rPr>
            </w:r>
            <w:r>
              <w:rPr>
                <w:sz w:val="19"/>
              </w:rPr>
              <w:t>HK's flexibility means workforce plans can flex down fast — unlike most of their home markets. That changes the whole build/buy/borrow calculation.</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b/>
                <w:sz w:val="19"/>
              </w:rPr>
              <w:t>MPF offsetting abolished from 1 May 2025</w:t>
            </w:r>
            <w:r>
              <w:rPr>
                <w:sz w:val="19"/>
              </w:rPr>
              <w:t xml:space="preserve"> — employers can no longer use accrued benefits from their </w:t>
            </w:r>
            <w:r>
              <w:rPr>
                <w:i/>
                <w:sz w:val="19"/>
              </w:rPr>
              <w:t>mandatory</w:t>
            </w:r>
            <w:r>
              <w:rPr>
                <w:sz w:val="19"/>
              </w:rPr>
              <w:t xml:space="preserve"> contributions to offset severance payment or long service payment. Not retrospective; the pre-transition portion is still offsettable, and a government subsidy scheme phases the cost in</w:t>
            </w:r>
          </w:p>
        </w:tc>
        <w:tc>
          <w:tcPr>
            <w:tcW w:type="dxa" w:w="3216"/>
            <w:shd w:val="clear" w:fill="EEF3FA"/>
          </w:tcPr>
          <w:p>
            <w:pPr>
              <w:spacing w:after="40"/>
            </w:pPr>
            <w:r>
              <w:rPr>
                <w:sz w:val="19"/>
              </w:rPr>
            </w:r>
            <w:r>
              <w:rPr>
                <w:sz w:val="19"/>
              </w:rPr>
              <w:t>Reducing headcount now has a real balance-sheet cost that it didn't fully have before. A downsizing scenario must be costed, not assumed free.</w:t>
            </w:r>
          </w:p>
        </w:tc>
      </w:tr>
      <w:tr>
        <w:tc>
          <w:tcPr>
            <w:tcW w:type="dxa" w:w="3216"/>
          </w:tcPr>
          <w:p>
            <w:pPr>
              <w:spacing w:after="40"/>
            </w:pPr>
            <w:r>
              <w:rPr>
                <w:sz w:val="19"/>
              </w:rPr>
            </w:r>
          </w:p>
        </w:tc>
        <w:tc>
          <w:tcPr>
            <w:tcW w:type="dxa" w:w="3216"/>
          </w:tcPr>
          <w:p>
            <w:pPr>
              <w:spacing w:after="40"/>
            </w:pPr>
            <w:r>
              <w:rPr>
                <w:sz w:val="19"/>
              </w:rPr>
            </w:r>
            <w:r>
              <w:rPr>
                <w:b/>
                <w:sz w:val="19"/>
              </w:rPr>
              <w:t>Talent admission</w:t>
            </w:r>
            <w:r>
              <w:rPr>
                <w:sz w:val="19"/>
              </w:rPr>
              <w:t>: IANG for non-local graduates of full-time, locally accredited HK programmes — initial stay 24 months, no quota, and recent graduates can apply without a job offer. Plus GEP, TTPS, QMAS, ASMTP</w:t>
            </w:r>
          </w:p>
        </w:tc>
        <w:tc>
          <w:tcPr>
            <w:tcW w:type="dxa" w:w="3216"/>
          </w:tcPr>
          <w:p>
            <w:pPr>
              <w:spacing w:after="40"/>
            </w:pPr>
            <w:r>
              <w:rPr>
                <w:sz w:val="19"/>
              </w:rPr>
            </w:r>
            <w:r>
              <w:rPr>
                <w:sz w:val="19"/>
              </w:rPr>
              <w:t xml:space="preserve">This </w:t>
            </w:r>
            <w:r>
              <w:rPr>
                <w:i/>
                <w:sz w:val="19"/>
              </w:rPr>
              <w:t>is</w:t>
            </w:r>
            <w:r>
              <w:rPr>
                <w:sz w:val="19"/>
              </w:rPr>
              <w:t xml:space="preserve"> the FinTech talent supply, and every student in the room is part of it.</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sz w:val="19"/>
              </w:rPr>
              <w:t xml:space="preserve">HKMA </w:t>
            </w:r>
            <w:r>
              <w:rPr>
                <w:b/>
                <w:sz w:val="19"/>
              </w:rPr>
              <w:t>Enhanced Competency Framework</w:t>
            </w:r>
            <w:r>
              <w:rPr>
                <w:sz w:val="19"/>
              </w:rPr>
              <w:t xml:space="preserve"> and SFC fit-and-proper requirements for regulated roles</w:t>
            </w:r>
          </w:p>
        </w:tc>
        <w:tc>
          <w:tcPr>
            <w:tcW w:type="dxa" w:w="3216"/>
            <w:shd w:val="clear" w:fill="EEF3FA"/>
          </w:tcPr>
          <w:p>
            <w:pPr>
              <w:spacing w:after="40"/>
            </w:pPr>
            <w:r>
              <w:rPr>
                <w:sz w:val="19"/>
              </w:rPr>
            </w:r>
            <w:r>
              <w:rPr>
                <w:sz w:val="19"/>
              </w:rPr>
              <w:t>You cannot fill some seats with the fastest learner. Competence and licensing are hard planning constraints.</w:t>
            </w:r>
          </w:p>
        </w:tc>
      </w:tr>
      <w:tr>
        <w:tc>
          <w:tcPr>
            <w:tcW w:type="dxa" w:w="3216"/>
          </w:tcPr>
          <w:p>
            <w:pPr>
              <w:spacing w:after="40"/>
            </w:pPr>
            <w:r>
              <w:rPr>
                <w:sz w:val="19"/>
              </w:rPr>
            </w:r>
            <w:r>
              <w:rPr>
                <w:b/>
                <w:sz w:val="19"/>
              </w:rPr>
              <w:t>2 Recruitment</w:t>
            </w:r>
          </w:p>
        </w:tc>
        <w:tc>
          <w:tcPr>
            <w:tcW w:type="dxa" w:w="3216"/>
          </w:tcPr>
          <w:p>
            <w:pPr>
              <w:spacing w:after="40"/>
            </w:pPr>
            <w:r>
              <w:rPr>
                <w:sz w:val="19"/>
              </w:rPr>
            </w:r>
            <w:r>
              <w:rPr>
                <w:b/>
                <w:sz w:val="19"/>
              </w:rPr>
              <w:t>Hong Kong has no age discrimination legislation.</w:t>
            </w:r>
            <w:r>
              <w:rPr>
                <w:sz w:val="19"/>
              </w:rPr>
              <w:t xml:space="preserve"> The EOC enforces the Sex (Cap. 480), Disability (Cap. 487), Family Status (Cap. 527) and Race (Cap. 602) Discrimination Ordinances — </w:t>
            </w:r>
            <w:r>
              <w:rPr>
                <w:b/>
                <w:sz w:val="19"/>
              </w:rPr>
              <w:t>age is not among them.</w:t>
            </w:r>
            <w:r>
              <w:rPr>
                <w:sz w:val="19"/>
              </w:rPr>
              <w:t xml:space="preserve"> The Labour Department issues </w:t>
            </w:r>
            <w:r>
              <w:rPr>
                <w:i/>
                <w:sz w:val="19"/>
              </w:rPr>
              <w:t>non-binding</w:t>
            </w:r>
            <w:r>
              <w:rPr>
                <w:sz w:val="19"/>
              </w:rPr>
              <w:t xml:space="preserve"> practical guidelines only</w:t>
            </w:r>
          </w:p>
        </w:tc>
        <w:tc>
          <w:tcPr>
            <w:tcW w:type="dxa" w:w="3216"/>
          </w:tcPr>
          <w:p>
            <w:pPr>
              <w:spacing w:after="40"/>
            </w:pPr>
            <w:r>
              <w:rPr>
                <w:sz w:val="19"/>
              </w:rPr>
            </w:r>
            <w:r>
              <w:rPr>
                <w:sz w:val="19"/>
              </w:rPr>
              <w:t>The sharpest teaching moment in the whole series. If age isn't a protected characteristic here, is it acceptable to put it in a screening model? Legal and right are not the same question.</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b/>
                <w:sz w:val="19"/>
              </w:rPr>
              <w:t>PCPD Code of Practice on Human Resource Management</w:t>
            </w:r>
            <w:r>
              <w:rPr>
                <w:sz w:val="19"/>
              </w:rPr>
              <w:t xml:space="preserve"> under the PDPO — e.g. personal data of an unsuccessful applicant should not be retained beyond two years where kept for future recruitment</w:t>
            </w:r>
          </w:p>
        </w:tc>
        <w:tc>
          <w:tcPr>
            <w:tcW w:type="dxa" w:w="3216"/>
            <w:shd w:val="clear" w:fill="EEF3FA"/>
          </w:tcPr>
          <w:p>
            <w:pPr>
              <w:spacing w:after="40"/>
            </w:pPr>
            <w:r>
              <w:rPr>
                <w:sz w:val="19"/>
              </w:rPr>
            </w:r>
            <w:r>
              <w:rPr>
                <w:sz w:val="19"/>
              </w:rPr>
              <w:t>Your recruitment dataset is regulated. Retention and purpose limitation are design constraints, not afterthoughts.</w:t>
            </w:r>
          </w:p>
        </w:tc>
      </w:tr>
      <w:tr>
        <w:tc>
          <w:tcPr>
            <w:tcW w:type="dxa" w:w="3216"/>
          </w:tcPr>
          <w:p>
            <w:pPr>
              <w:spacing w:after="40"/>
            </w:pPr>
            <w:r>
              <w:rPr>
                <w:sz w:val="19"/>
              </w:rPr>
            </w:r>
          </w:p>
        </w:tc>
        <w:tc>
          <w:tcPr>
            <w:tcW w:type="dxa" w:w="3216"/>
          </w:tcPr>
          <w:p>
            <w:pPr>
              <w:spacing w:after="40"/>
            </w:pPr>
            <w:r>
              <w:rPr>
                <w:sz w:val="19"/>
              </w:rPr>
            </w:r>
            <w:r>
              <w:rPr>
                <w:sz w:val="19"/>
              </w:rPr>
              <w:t>HK CV conventions — photograph, age, marital status and HKID details are far more commonly requested here than in most of their home markets</w:t>
            </w:r>
          </w:p>
        </w:tc>
        <w:tc>
          <w:tcPr>
            <w:tcW w:type="dxa" w:w="3216"/>
          </w:tcPr>
          <w:p>
            <w:pPr>
              <w:spacing w:after="40"/>
            </w:pPr>
            <w:r>
              <w:rPr>
                <w:sz w:val="19"/>
              </w:rPr>
            </w:r>
            <w:r>
              <w:rPr>
                <w:sz w:val="19"/>
              </w:rPr>
              <w:t>Makes the legal gap concrete in thirty seconds.</w:t>
            </w:r>
          </w:p>
        </w:tc>
      </w:tr>
      <w:tr>
        <w:tc>
          <w:tcPr>
            <w:tcW w:type="dxa" w:w="3216"/>
            <w:shd w:val="clear" w:fill="EEF3FA"/>
          </w:tcPr>
          <w:p>
            <w:pPr>
              <w:spacing w:after="40"/>
            </w:pPr>
            <w:r>
              <w:rPr>
                <w:sz w:val="19"/>
              </w:rPr>
            </w:r>
            <w:r>
              <w:rPr>
                <w:b/>
                <w:sz w:val="19"/>
              </w:rPr>
              <w:t>3 Compensation</w:t>
            </w:r>
          </w:p>
        </w:tc>
        <w:tc>
          <w:tcPr>
            <w:tcW w:type="dxa" w:w="3216"/>
            <w:shd w:val="clear" w:fill="EEF3FA"/>
          </w:tcPr>
          <w:p>
            <w:pPr>
              <w:spacing w:after="40"/>
            </w:pPr>
            <w:r>
              <w:rPr>
                <w:sz w:val="19"/>
              </w:rPr>
            </w:r>
            <w:r>
              <w:rPr>
                <w:b/>
                <w:sz w:val="19"/>
              </w:rPr>
              <w:t>HKMA Supervisory Policy Manual CG-5, "Guideline on a Sound Remuneration System"</w:t>
            </w:r>
            <w:r>
              <w:rPr>
                <w:sz w:val="19"/>
              </w:rPr>
              <w:t xml:space="preserve"> — deferral of variable pay, malus and clawback for material risk takers, with deferral for senior executives normally not less than three years</w:t>
            </w:r>
          </w:p>
        </w:tc>
        <w:tc>
          <w:tcPr>
            <w:tcW w:type="dxa" w:w="3216"/>
            <w:shd w:val="clear" w:fill="EEF3FA"/>
          </w:tcPr>
          <w:p>
            <w:pPr>
              <w:spacing w:after="40"/>
            </w:pPr>
            <w:r>
              <w:rPr>
                <w:sz w:val="19"/>
              </w:rPr>
            </w:r>
            <w:r>
              <w:rPr>
                <w:sz w:val="19"/>
              </w:rPr>
              <w:t>Real, local, binding-in-practice regulation of pay in exactly the sector this course is about. Nobody else on the course will teach this.</w:t>
            </w:r>
          </w:p>
        </w:tc>
      </w:tr>
      <w:tr>
        <w:tc>
          <w:tcPr>
            <w:tcW w:type="dxa" w:w="3216"/>
          </w:tcPr>
          <w:p>
            <w:pPr>
              <w:spacing w:after="40"/>
            </w:pPr>
            <w:r>
              <w:rPr>
                <w:sz w:val="19"/>
              </w:rPr>
            </w:r>
          </w:p>
        </w:tc>
        <w:tc>
          <w:tcPr>
            <w:tcW w:type="dxa" w:w="3216"/>
          </w:tcPr>
          <w:p>
            <w:pPr>
              <w:spacing w:after="40"/>
            </w:pPr>
            <w:r>
              <w:rPr>
                <w:sz w:val="19"/>
              </w:rPr>
            </w:r>
            <w:r>
              <w:rPr>
                <w:sz w:val="19"/>
              </w:rPr>
              <w:t>MPF: mandatory contributions from both employer and employee, subject to statutory relevant-income levels; plus the 1 May 2025 offsetting change</w:t>
            </w:r>
          </w:p>
        </w:tc>
        <w:tc>
          <w:tcPr>
            <w:tcW w:type="dxa" w:w="3216"/>
          </w:tcPr>
          <w:p>
            <w:pPr>
              <w:spacing w:after="40"/>
            </w:pPr>
            <w:r>
              <w:rPr>
                <w:sz w:val="19"/>
              </w:rPr>
            </w:r>
            <w:r>
              <w:rPr>
                <w:sz w:val="19"/>
              </w:rPr>
              <w:t>The employer cost of an employee in HK is not just salary.</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b/>
                <w:sz w:val="19"/>
              </w:rPr>
              <w:t>Hong Kong has no gender pay gap reporting requirement</w:t>
            </w:r>
            <w:r>
              <w:rPr>
                <w:sz w:val="19"/>
              </w:rPr>
              <w:t xml:space="preserve"> and no general pay transparency statute, unlike the UK's reporting regime or the EU Pay Transparency Directive</w:t>
            </w:r>
          </w:p>
        </w:tc>
        <w:tc>
          <w:tcPr>
            <w:tcW w:type="dxa" w:w="3216"/>
            <w:shd w:val="clear" w:fill="EEF3FA"/>
          </w:tcPr>
          <w:p>
            <w:pPr>
              <w:spacing w:after="40"/>
            </w:pPr>
            <w:r>
              <w:rPr>
                <w:sz w:val="19"/>
              </w:rPr>
            </w:r>
            <w:r>
              <w:rPr>
                <w:sz w:val="19"/>
              </w:rPr>
              <w:t xml:space="preserve">Nobody makes a HK employer look at its unexplained pay gap. So looking is a </w:t>
            </w:r>
            <w:r>
              <w:rPr>
                <w:i/>
                <w:sz w:val="19"/>
              </w:rPr>
              <w:t>governance choice</w:t>
            </w:r>
            <w:r>
              <w:rPr>
                <w:sz w:val="19"/>
              </w:rPr>
              <w:t xml:space="preserve"> — which is precisely the point of the session.</w:t>
            </w:r>
          </w:p>
        </w:tc>
      </w:tr>
      <w:tr>
        <w:tc>
          <w:tcPr>
            <w:tcW w:type="dxa" w:w="3216"/>
          </w:tcPr>
          <w:p>
            <w:pPr>
              <w:spacing w:after="40"/>
            </w:pPr>
            <w:r>
              <w:rPr>
                <w:sz w:val="19"/>
              </w:rPr>
            </w:r>
          </w:p>
        </w:tc>
        <w:tc>
          <w:tcPr>
            <w:tcW w:type="dxa" w:w="3216"/>
          </w:tcPr>
          <w:p>
            <w:pPr>
              <w:spacing w:after="40"/>
            </w:pPr>
            <w:r>
              <w:rPr>
                <w:sz w:val="19"/>
              </w:rPr>
            </w:r>
            <w:r>
              <w:rPr>
                <w:sz w:val="19"/>
              </w:rPr>
              <w:t>13th-month / "double pay" is contractual convention, not statute</w:t>
            </w:r>
          </w:p>
        </w:tc>
        <w:tc>
          <w:tcPr>
            <w:tcW w:type="dxa" w:w="3216"/>
          </w:tcPr>
          <w:p>
            <w:pPr>
              <w:spacing w:after="40"/>
            </w:pPr>
            <w:r>
              <w:rPr>
                <w:sz w:val="19"/>
              </w:rPr>
            </w:r>
            <w:r>
              <w:rPr>
                <w:sz w:val="19"/>
              </w:rPr>
              <w:t>Explains the Lunar New Year bonus-cycle behaviour that shows up in the turnover data.</w:t>
            </w:r>
          </w:p>
        </w:tc>
      </w:tr>
      <w:tr>
        <w:tc>
          <w:tcPr>
            <w:tcW w:type="dxa" w:w="3216"/>
            <w:shd w:val="clear" w:fill="EEF3FA"/>
          </w:tcPr>
          <w:p>
            <w:pPr>
              <w:spacing w:after="40"/>
            </w:pPr>
            <w:r>
              <w:rPr>
                <w:sz w:val="19"/>
              </w:rPr>
            </w:r>
            <w:r>
              <w:rPr>
                <w:b/>
                <w:sz w:val="19"/>
              </w:rPr>
              <w:t>4 Turnover</w:t>
            </w:r>
          </w:p>
        </w:tc>
        <w:tc>
          <w:tcPr>
            <w:tcW w:type="dxa" w:w="3216"/>
            <w:shd w:val="clear" w:fill="EEF3FA"/>
          </w:tcPr>
          <w:p>
            <w:pPr>
              <w:spacing w:after="40"/>
            </w:pPr>
            <w:r>
              <w:rPr>
                <w:sz w:val="19"/>
              </w:rPr>
            </w:r>
            <w:r>
              <w:rPr>
                <w:sz w:val="19"/>
              </w:rPr>
              <w:t>One month's notice is the common HK position — short by international standards</w:t>
            </w:r>
          </w:p>
        </w:tc>
        <w:tc>
          <w:tcPr>
            <w:tcW w:type="dxa" w:w="3216"/>
            <w:shd w:val="clear" w:fill="EEF3FA"/>
          </w:tcPr>
          <w:p>
            <w:pPr>
              <w:spacing w:after="40"/>
            </w:pPr>
            <w:r>
              <w:rPr>
                <w:sz w:val="19"/>
              </w:rPr>
            </w:r>
            <w:r>
              <w:rPr>
                <w:sz w:val="19"/>
              </w:rPr>
              <w:t>HK turnover moves fast. A six-month prediction window means something different here than in a market with three-month notice.</w:t>
            </w:r>
          </w:p>
        </w:tc>
      </w:tr>
      <w:tr>
        <w:tc>
          <w:tcPr>
            <w:tcW w:type="dxa" w:w="3216"/>
          </w:tcPr>
          <w:p>
            <w:pPr>
              <w:spacing w:after="40"/>
            </w:pPr>
            <w:r>
              <w:rPr>
                <w:sz w:val="19"/>
              </w:rPr>
            </w:r>
          </w:p>
        </w:tc>
        <w:tc>
          <w:tcPr>
            <w:tcW w:type="dxa" w:w="3216"/>
          </w:tcPr>
          <w:p>
            <w:pPr>
              <w:spacing w:after="40"/>
            </w:pPr>
            <w:r>
              <w:rPr>
                <w:sz w:val="19"/>
              </w:rPr>
            </w:r>
            <w:r>
              <w:rPr>
                <w:b/>
                <w:sz w:val="19"/>
              </w:rPr>
              <w:t>Visa-linked employment</w:t>
            </w:r>
            <w:r>
              <w:rPr>
                <w:sz w:val="19"/>
              </w:rPr>
              <w:t>: for someone on IANG, GEP or a similar scheme, the right to remain is tied to employment</w:t>
            </w:r>
          </w:p>
        </w:tc>
        <w:tc>
          <w:tcPr>
            <w:tcW w:type="dxa" w:w="3216"/>
          </w:tcPr>
          <w:p>
            <w:pPr>
              <w:spacing w:after="40"/>
            </w:pPr>
            <w:r>
              <w:rPr>
                <w:sz w:val="19"/>
              </w:rPr>
            </w:r>
            <w:r>
              <w:rPr>
                <w:sz w:val="19"/>
              </w:rPr>
              <w:t>A retention dynamic that does not exist in their home markets — and it applies to them personally.</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sz w:val="19"/>
              </w:rPr>
              <w:t>Post-1 May 2025 severance and long service payment costs</w:t>
            </w:r>
          </w:p>
        </w:tc>
        <w:tc>
          <w:tcPr>
            <w:tcW w:type="dxa" w:w="3216"/>
            <w:shd w:val="clear" w:fill="EEF3FA"/>
          </w:tcPr>
          <w:p>
            <w:pPr>
              <w:spacing w:after="40"/>
            </w:pPr>
            <w:r>
              <w:rPr>
                <w:sz w:val="19"/>
              </w:rPr>
            </w:r>
            <w:r>
              <w:rPr>
                <w:sz w:val="19"/>
              </w:rPr>
              <w:t>The cost of involuntary exits went up. The cost stack changed.</w:t>
            </w:r>
          </w:p>
        </w:tc>
      </w:tr>
      <w:tr>
        <w:tc>
          <w:tcPr>
            <w:tcW w:type="dxa" w:w="3216"/>
          </w:tcPr>
          <w:p>
            <w:pPr>
              <w:spacing w:after="40"/>
            </w:pPr>
            <w:r>
              <w:rPr>
                <w:sz w:val="19"/>
              </w:rPr>
            </w:r>
          </w:p>
        </w:tc>
        <w:tc>
          <w:tcPr>
            <w:tcW w:type="dxa" w:w="3216"/>
          </w:tcPr>
          <w:p>
            <w:pPr>
              <w:spacing w:after="40"/>
            </w:pPr>
            <w:r>
              <w:rPr>
                <w:sz w:val="19"/>
              </w:rPr>
            </w:r>
            <w:r>
              <w:rPr>
                <w:b/>
                <w:sz w:val="19"/>
              </w:rPr>
              <w:t>A risk score is personal data under the PDPO</w:t>
            </w:r>
            <w:r>
              <w:rPr>
                <w:sz w:val="19"/>
              </w:rPr>
              <w:t xml:space="preserve"> — collection purpose, use limitation, and the data access right under DPP 6 all apply</w:t>
            </w:r>
          </w:p>
        </w:tc>
        <w:tc>
          <w:tcPr>
            <w:tcW w:type="dxa" w:w="3216"/>
          </w:tcPr>
          <w:p>
            <w:pPr>
              <w:spacing w:after="40"/>
            </w:pPr>
            <w:r>
              <w:rPr>
                <w:sz w:val="19"/>
              </w:rPr>
            </w:r>
            <w:r>
              <w:rPr>
                <w:sz w:val="19"/>
              </w:rPr>
              <w:t>Turns "who gets to see the list?" from a philosophy debate into a Hong Kong legal question. Your best closer.</w:t>
            </w:r>
          </w:p>
        </w:tc>
      </w:tr>
    </w:tbl>
    <w:p>
      <w:pPr>
        <w:spacing w:after="80"/>
      </w:pPr>
    </w:p>
    <w:p>
      <w:pPr>
        <w:pStyle w:val="Heading3"/>
      </w:pPr>
      <w:r>
        <w:t>3.2 Verify before you teach</w:t>
      </w:r>
    </w:p>
    <w:p>
      <w:r>
        <w:t>Some of the above is stable law; some is a number that moves. Check these against the primary source in the week before your session, and say in class that you did:</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Stable enough to state plainly</w:t>
            </w:r>
          </w:p>
        </w:tc>
        <w:tc>
          <w:tcPr>
            <w:tcW w:type="dxa" w:w="4824"/>
            <w:shd w:val="clear" w:fill="2E5496"/>
          </w:tcPr>
          <w:p>
            <w:pPr>
              <w:spacing w:after="40"/>
            </w:pPr>
            <w:r>
              <w:rPr>
                <w:b/>
                <w:color w:val="FFFFFF"/>
                <w:sz w:val="20"/>
              </w:rPr>
            </w:r>
            <w:r>
              <w:rPr>
                <w:b/>
                <w:color w:val="FFFFFF"/>
                <w:sz w:val="20"/>
              </w:rPr>
              <w:t>Check the current figure or version</w:t>
            </w:r>
          </w:p>
        </w:tc>
      </w:tr>
      <w:tr>
        <w:tc>
          <w:tcPr>
            <w:tcW w:type="dxa" w:w="4824"/>
          </w:tcPr>
          <w:p>
            <w:pPr>
              <w:spacing w:after="40"/>
            </w:pPr>
            <w:r>
              <w:rPr>
                <w:sz w:val="19"/>
              </w:rPr>
            </w:r>
            <w:r>
              <w:rPr>
                <w:sz w:val="19"/>
              </w:rPr>
              <w:t>MPF offsetting abolished 1 May 2025, not retrospective</w:t>
            </w:r>
          </w:p>
        </w:tc>
        <w:tc>
          <w:tcPr>
            <w:tcW w:type="dxa" w:w="4824"/>
          </w:tcPr>
          <w:p>
            <w:pPr>
              <w:spacing w:after="40"/>
            </w:pPr>
            <w:r>
              <w:rPr>
                <w:sz w:val="19"/>
              </w:rPr>
            </w:r>
            <w:r>
              <w:rPr>
                <w:sz w:val="19"/>
              </w:rPr>
              <w:t>MPF relevant income levels and contribution caps</w:t>
            </w:r>
          </w:p>
        </w:tc>
      </w:tr>
      <w:tr>
        <w:tc>
          <w:tcPr>
            <w:tcW w:type="dxa" w:w="4824"/>
            <w:shd w:val="clear" w:fill="EEF3FA"/>
          </w:tcPr>
          <w:p>
            <w:pPr>
              <w:spacing w:after="40"/>
            </w:pPr>
            <w:r>
              <w:rPr>
                <w:sz w:val="19"/>
              </w:rPr>
            </w:r>
            <w:r>
              <w:rPr>
                <w:sz w:val="19"/>
              </w:rPr>
              <w:t>No age discrimination legislation in HK; EOC covers sex, disability, family status, race</w:t>
            </w:r>
          </w:p>
        </w:tc>
        <w:tc>
          <w:tcPr>
            <w:tcW w:type="dxa" w:w="4824"/>
            <w:shd w:val="clear" w:fill="EEF3FA"/>
          </w:tcPr>
          <w:p>
            <w:pPr>
              <w:spacing w:after="40"/>
            </w:pPr>
            <w:r>
              <w:rPr>
                <w:sz w:val="19"/>
              </w:rPr>
            </w:r>
            <w:r>
              <w:rPr>
                <w:sz w:val="19"/>
              </w:rPr>
              <w:t>Statutory minimum wage rate and review cycle</w:t>
            </w:r>
          </w:p>
        </w:tc>
      </w:tr>
      <w:tr>
        <w:tc>
          <w:tcPr>
            <w:tcW w:type="dxa" w:w="4824"/>
          </w:tcPr>
          <w:p>
            <w:pPr>
              <w:spacing w:after="40"/>
            </w:pPr>
            <w:r>
              <w:rPr>
                <w:sz w:val="19"/>
              </w:rPr>
            </w:r>
            <w:r>
              <w:rPr>
                <w:sz w:val="19"/>
              </w:rPr>
              <w:t>PCPD Code of Practice on HRM exists and covers recruitment data</w:t>
            </w:r>
          </w:p>
        </w:tc>
        <w:tc>
          <w:tcPr>
            <w:tcW w:type="dxa" w:w="4824"/>
          </w:tcPr>
          <w:p>
            <w:pPr>
              <w:spacing w:after="40"/>
            </w:pPr>
            <w:r>
              <w:rPr>
                <w:sz w:val="19"/>
              </w:rPr>
            </w:r>
            <w:r>
              <w:rPr>
                <w:sz w:val="19"/>
              </w:rPr>
              <w:t>The two-year applicant-retention guidance — quote the Code, not me</w:t>
            </w:r>
          </w:p>
        </w:tc>
      </w:tr>
      <w:tr>
        <w:tc>
          <w:tcPr>
            <w:tcW w:type="dxa" w:w="4824"/>
            <w:shd w:val="clear" w:fill="EEF3FA"/>
          </w:tcPr>
          <w:p>
            <w:pPr>
              <w:spacing w:after="40"/>
            </w:pPr>
            <w:r>
              <w:rPr>
                <w:sz w:val="19"/>
              </w:rPr>
            </w:r>
            <w:r>
              <w:rPr>
                <w:sz w:val="19"/>
              </w:rPr>
              <w:t>HKMA SPM CG-5 governs remuneration in authorized institutions</w:t>
            </w:r>
          </w:p>
        </w:tc>
        <w:tc>
          <w:tcPr>
            <w:tcW w:type="dxa" w:w="4824"/>
            <w:shd w:val="clear" w:fill="EEF3FA"/>
          </w:tcPr>
          <w:p>
            <w:pPr>
              <w:spacing w:after="40"/>
            </w:pPr>
            <w:r>
              <w:rPr>
                <w:sz w:val="19"/>
              </w:rPr>
            </w:r>
            <w:r>
              <w:rPr>
                <w:sz w:val="19"/>
              </w:rPr>
              <w:t>Current version of CG-5 and of the Enhanced Competency Framework modules</w:t>
            </w:r>
          </w:p>
        </w:tc>
      </w:tr>
      <w:tr>
        <w:tc>
          <w:tcPr>
            <w:tcW w:type="dxa" w:w="4824"/>
          </w:tcPr>
          <w:p>
            <w:pPr>
              <w:spacing w:after="40"/>
            </w:pPr>
            <w:r>
              <w:rPr>
                <w:sz w:val="19"/>
              </w:rPr>
            </w:r>
            <w:r>
              <w:rPr>
                <w:sz w:val="19"/>
              </w:rPr>
              <w:t>IANG exists, 24-month initial stay, no quota, open to non-local graduates of local programmes</w:t>
            </w:r>
          </w:p>
        </w:tc>
        <w:tc>
          <w:tcPr>
            <w:tcW w:type="dxa" w:w="4824"/>
          </w:tcPr>
          <w:p>
            <w:pPr>
              <w:spacing w:after="40"/>
            </w:pPr>
            <w:r>
              <w:rPr>
                <w:sz w:val="19"/>
              </w:rPr>
            </w:r>
            <w:r>
              <w:rPr>
                <w:sz w:val="19"/>
              </w:rPr>
              <w:t>Exact application windows and any 2026 changes — Immigration Department site</w:t>
            </w:r>
          </w:p>
        </w:tc>
      </w:tr>
      <w:tr>
        <w:tc>
          <w:tcPr>
            <w:tcW w:type="dxa" w:w="4824"/>
            <w:shd w:val="clear" w:fill="EEF3FA"/>
          </w:tcPr>
          <w:p>
            <w:pPr>
              <w:spacing w:after="40"/>
            </w:pPr>
            <w:r>
              <w:rPr>
                <w:sz w:val="19"/>
              </w:rPr>
            </w:r>
            <w:r>
              <w:rPr>
                <w:sz w:val="19"/>
              </w:rPr>
              <w:t>Eight virtual banks were licensed by the HKMA between 2019 and 2021</w:t>
            </w:r>
          </w:p>
        </w:tc>
        <w:tc>
          <w:tcPr>
            <w:tcW w:type="dxa" w:w="4824"/>
            <w:shd w:val="clear" w:fill="EEF3FA"/>
          </w:tcPr>
          <w:p>
            <w:pPr>
              <w:spacing w:after="40"/>
            </w:pPr>
            <w:r>
              <w:rPr>
                <w:sz w:val="19"/>
              </w:rPr>
            </w:r>
            <w:r>
              <w:rPr>
                <w:sz w:val="19"/>
              </w:rPr>
              <w:t>Whether all eight still operate, and current terminology (the sector is also referred to as licensed digital banks)</w:t>
            </w:r>
          </w:p>
        </w:tc>
      </w:tr>
    </w:tbl>
    <w:p>
      <w:pPr>
        <w:spacing w:after="80"/>
      </w:pPr>
    </w:p>
    <w:p>
      <w:r>
        <w:rPr>
          <w:b/>
        </w:rPr>
        <w:t>Primary sources to bookmark:</w:t>
      </w:r>
      <w:r>
        <w:t xml:space="preserve"> Labour Department (labour.gov.hk), MPFA (mpfa.org.hk), PCPD (pcpd.org.hk), EOC (eoc.org.hk), HKMA (hkma.gov.hk), SFC (sfc.hk), Immigration Department (immd.gov.hk).</w:t>
      </w:r>
    </w:p>
    <w:p>
      <w:pPr>
        <w:pStyle w:val="IntenseQuote"/>
      </w:pPr>
      <w:r>
        <w:rPr>
          <w:b/>
        </w:rPr>
        <w:t>Say this out loud in Session 1:</w:t>
      </w:r>
      <w:r>
        <w:t xml:space="preserve"> </w:t>
      </w:r>
      <w:r>
        <w:rPr>
          <w:i/>
        </w:rPr>
        <w:t>"I will give you the law as it stands and I will tell you when a number moves. If I'm not sure, I'll say so and check. In this field, being confidently wrong about a regulation is worse than being slow."</w:t>
      </w:r>
      <w:r>
        <w:t xml:space="preserve"> Postgraduates respect that, and it buys you room for the rest of the series.</w:t>
      </w:r>
    </w:p>
    <w:p>
      <w:pPr>
        <w:pStyle w:val="Heading3"/>
      </w:pPr>
      <w:r>
        <w:t>3.3 Your engagement hook: they are the data</w:t>
      </w:r>
    </w:p>
    <w:p>
      <w:r>
        <w:t xml:space="preserve">The single strongest opening you have is that </w:t>
      </w:r>
      <w:r>
        <w:rPr>
          <w:b/>
        </w:rPr>
        <w:t>these students are themselves Hong Kong's FinTech talent pipeline.</w:t>
      </w:r>
      <w:r>
        <w:t xml:space="preserve"> They are non-local graduates of a locally accredited programme — the exact population IANG was designed for.</w:t>
      </w:r>
    </w:p>
    <w:p>
      <w:r>
        <w:t>Use it in the first five minutes of Sunday 1:</w:t>
      </w:r>
    </w:p>
    <w:p>
      <w:pPr>
        <w:pStyle w:val="IntenseQuote"/>
      </w:pPr>
      <w:r>
        <w:rPr>
          <w:i/>
        </w:rPr>
        <w:t>"Everyone in this room is, right now, a data point in Hong Kong's talent strategy. You are non-local graduates of a Hong Kong programme, which means there is an immigration arrangement built specifically for people like you, and there are FinTech firms in this city whose workforce plans assume you exist. Over the next four Sundays we are going to look at the hiring, paying and retention decisions those firms make — from the other side of the desk. By Sunday 4 you should be able to read a Hong Kong job offer the way an HR director reads it."</w:t>
      </w:r>
    </w:p>
    <w:p>
      <w:r>
        <w:t>That reframes the whole series from "a subject" to "your career", and it is true.</w:t>
      </w:r>
    </w:p>
    <w:p>
      <w:pPr>
        <w:pStyle w:val="Heading3"/>
      </w:pPr>
      <w:r>
        <w:t>3.4 Using their home markets — as contrast, not as spine</w:t>
      </w:r>
    </w:p>
    <w:p>
      <w:r>
        <w:t xml:space="preserve">Their international backgrounds are still valuable, but the ratio flips: </w:t>
      </w:r>
      <w:r>
        <w:rPr>
          <w:b/>
        </w:rPr>
        <w:t>Hong Kong is the anchor, home market is the 3-minute contrast.</w:t>
      </w:r>
      <w:r>
        <w:t xml:space="preserve"> One per session, tightly timed:</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Sunday</w:t>
            </w:r>
          </w:p>
        </w:tc>
        <w:tc>
          <w:tcPr>
            <w:tcW w:type="dxa" w:w="4824"/>
            <w:shd w:val="clear" w:fill="2E5496"/>
          </w:tcPr>
          <w:p>
            <w:pPr>
              <w:spacing w:after="40"/>
            </w:pPr>
            <w:r>
              <w:rPr>
                <w:b/>
                <w:color w:val="FFFFFF"/>
                <w:sz w:val="20"/>
              </w:rPr>
            </w:r>
            <w:r>
              <w:rPr>
                <w:b/>
                <w:color w:val="FFFFFF"/>
                <w:sz w:val="20"/>
              </w:rPr>
              <w:t>The contrast question (3–5 min, not 15)</w:t>
            </w:r>
          </w:p>
        </w:tc>
      </w:tr>
      <w:tr>
        <w:tc>
          <w:tcPr>
            <w:tcW w:type="dxa" w:w="4824"/>
          </w:tcPr>
          <w:p>
            <w:pPr>
              <w:spacing w:after="40"/>
            </w:pPr>
            <w:r>
              <w:rPr>
                <w:sz w:val="19"/>
              </w:rPr>
            </w:r>
            <w:r>
              <w:rPr>
                <w:sz w:val="19"/>
              </w:rPr>
              <w:t>1</w:t>
            </w:r>
          </w:p>
        </w:tc>
        <w:tc>
          <w:tcPr>
            <w:tcW w:type="dxa" w:w="4824"/>
          </w:tcPr>
          <w:p>
            <w:pPr>
              <w:spacing w:after="40"/>
            </w:pPr>
            <w:r>
              <w:rPr>
                <w:sz w:val="19"/>
              </w:rPr>
            </w:r>
            <w:r>
              <w:rPr>
                <w:i/>
                <w:sz w:val="19"/>
              </w:rPr>
              <w:t>"In a market you know well, how hard is it to reduce headcount? Hong Kong is unusually flexible — where you're from, is it?"</w:t>
            </w:r>
          </w:p>
        </w:tc>
      </w:tr>
      <w:tr>
        <w:tc>
          <w:tcPr>
            <w:tcW w:type="dxa" w:w="4824"/>
            <w:shd w:val="clear" w:fill="EEF3FA"/>
          </w:tcPr>
          <w:p>
            <w:pPr>
              <w:spacing w:after="40"/>
            </w:pPr>
            <w:r>
              <w:rPr>
                <w:sz w:val="19"/>
              </w:rPr>
            </w:r>
            <w:r>
              <w:rPr>
                <w:sz w:val="19"/>
              </w:rPr>
              <w:t>2</w:t>
            </w:r>
          </w:p>
        </w:tc>
        <w:tc>
          <w:tcPr>
            <w:tcW w:type="dxa" w:w="4824"/>
            <w:shd w:val="clear" w:fill="EEF3FA"/>
          </w:tcPr>
          <w:p>
            <w:pPr>
              <w:spacing w:after="40"/>
            </w:pPr>
            <w:r>
              <w:rPr>
                <w:sz w:val="19"/>
              </w:rPr>
            </w:r>
            <w:r>
              <w:rPr>
                <w:i/>
                <w:sz w:val="19"/>
              </w:rPr>
              <w:t>"Hong Kong has no age discrimination law. Does yours? What can a job ad legally ask for where you're from?"</w:t>
            </w:r>
          </w:p>
        </w:tc>
      </w:tr>
      <w:tr>
        <w:tc>
          <w:tcPr>
            <w:tcW w:type="dxa" w:w="4824"/>
          </w:tcPr>
          <w:p>
            <w:pPr>
              <w:spacing w:after="40"/>
            </w:pPr>
            <w:r>
              <w:rPr>
                <w:sz w:val="19"/>
              </w:rPr>
            </w:r>
            <w:r>
              <w:rPr>
                <w:sz w:val="19"/>
              </w:rPr>
              <w:t>3</w:t>
            </w:r>
          </w:p>
        </w:tc>
        <w:tc>
          <w:tcPr>
            <w:tcW w:type="dxa" w:w="4824"/>
          </w:tcPr>
          <w:p>
            <w:pPr>
              <w:spacing w:after="40"/>
            </w:pPr>
            <w:r>
              <w:rPr>
                <w:sz w:val="19"/>
              </w:rPr>
            </w:r>
            <w:r>
              <w:rPr>
                <w:i/>
                <w:sz w:val="19"/>
              </w:rPr>
              <w:t>"Does your market require gender pay gap reporting? Hong Kong doesn't."</w:t>
            </w:r>
          </w:p>
        </w:tc>
      </w:tr>
      <w:tr>
        <w:tc>
          <w:tcPr>
            <w:tcW w:type="dxa" w:w="4824"/>
            <w:shd w:val="clear" w:fill="EEF3FA"/>
          </w:tcPr>
          <w:p>
            <w:pPr>
              <w:spacing w:after="40"/>
            </w:pPr>
            <w:r>
              <w:rPr>
                <w:sz w:val="19"/>
              </w:rPr>
            </w:r>
            <w:r>
              <w:rPr>
                <w:sz w:val="19"/>
              </w:rPr>
              <w:t>4</w:t>
            </w:r>
          </w:p>
        </w:tc>
        <w:tc>
          <w:tcPr>
            <w:tcW w:type="dxa" w:w="4824"/>
            <w:shd w:val="clear" w:fill="EEF3FA"/>
          </w:tcPr>
          <w:p>
            <w:pPr>
              <w:spacing w:after="40"/>
            </w:pPr>
            <w:r>
              <w:rPr>
                <w:sz w:val="19"/>
              </w:rPr>
            </w:r>
            <w:r>
              <w:rPr>
                <w:i/>
                <w:sz w:val="19"/>
              </w:rPr>
              <w:t>"One month's notice is normal here. What's normal where you're from?"</w:t>
            </w:r>
          </w:p>
        </w:tc>
      </w:tr>
    </w:tbl>
    <w:p>
      <w:pPr>
        <w:spacing w:after="80"/>
      </w:pPr>
    </w:p>
    <w:p>
      <w:r>
        <w:rPr>
          <w:b/>
        </w:rPr>
        <w:t>Phrasing rule:</w:t>
      </w:r>
      <w:r>
        <w:t xml:space="preserve"> always </w:t>
      </w:r>
      <w:r>
        <w:rPr>
          <w:i/>
        </w:rPr>
        <w:t>"in a market you know well…"</w:t>
      </w:r>
      <w:r>
        <w:t xml:space="preserve">, never </w:t>
      </w:r>
      <w:r>
        <w:rPr>
          <w:i/>
        </w:rPr>
        <w:t>"how do they do it in India?"</w:t>
      </w:r>
      <w:r>
        <w:t xml:space="preserve"> Invite; don't appoint anyone the representative of their country.</w:t>
      </w:r>
    </w:p>
    <w:p>
      <w:r>
        <w:br w:type="page"/>
      </w:r>
    </w:p>
    <w:p>
      <w:pPr>
        <w:pStyle w:val="Heading2"/>
      </w:pPr>
      <w:r>
        <w:t>4. Teaching 13 postgraduates in a computer lab</w:t>
      </w:r>
    </w:p>
    <w:p>
      <w:r>
        <w:t>A computer lab with fixed rows is the hardest room to run a discussion in, and it is the room you have. Everything below is designed for it.</w:t>
      </w:r>
    </w:p>
    <w:p>
      <w:pPr>
        <w:pStyle w:val="Heading3"/>
      </w:pPr>
      <w:r>
        <w:t>4.1 The screen protocol — set this up in minute two of Sunday 1</w:t>
      </w:r>
    </w:p>
    <w:p>
      <w:r>
        <w:t>The monitors are your biggest problem 80% of the time and your biggest asset 20% of the time. The fix is one explicit, consistently used routine:</w:t>
      </w:r>
    </w:p>
    <w:p>
      <w:pPr>
        <w:pStyle w:val="IntenseQuote"/>
      </w:pPr>
      <w:r>
        <w:rPr>
          <w:i/>
        </w:rPr>
        <w:t xml:space="preserve">"Two instructions I'll use all term. When I say </w:t>
      </w:r>
      <w:r>
        <w:t>*'screens off'</w:t>
      </w:r>
      <w:r>
        <w:rPr>
          <w:b/>
        </w:rPr>
        <w:t xml:space="preserve">, turn your monitor off — not minimised, off — and look up. When I say </w:t>
      </w:r>
      <w:r>
        <w:t>'screens on'**, they're yours. I'll use 'screens on' more than you expect, but when they're off, they're off."*</w:t>
      </w:r>
    </w:p>
    <w:p>
      <w:r>
        <w:t xml:space="preserve">Then </w:t>
      </w:r>
      <w:r>
        <w:rPr>
          <w:b/>
        </w:rPr>
        <w:t>use it in the first ten minutes</w:t>
      </w:r>
      <w:r>
        <w:t xml:space="preserve"> so it's established before it matters, and </w:t>
      </w:r>
      <w:r>
        <w:rPr>
          <w:b/>
        </w:rPr>
        <w:t>never let a "screens off" slide</w:t>
      </w:r>
      <w:r>
        <w:t>. One un-enforced instruction on Sunday 1 costs you all four Sundays.</w:t>
      </w:r>
    </w:p>
    <w:p>
      <w:pPr>
        <w:pStyle w:val="Heading3"/>
      </w:pPr>
      <w:r>
        <w:t>4.2 Seating — pull them forward</w:t>
      </w:r>
    </w:p>
    <w:p>
      <w:r>
        <w:t xml:space="preserve">With 13 students in a lab built for thirty, ask everyone to </w:t>
      </w:r>
      <w:r>
        <w:rPr>
          <w:b/>
        </w:rPr>
        <w:t>fill the front two rows</w:t>
      </w:r>
      <w:r>
        <w:t xml:space="preserve"> before you start. It is the closest you can get to a seminar shape in fixed seating, and it removes the twenty feet of empty desks that kill discussion.</w:t>
      </w:r>
    </w:p>
    <w:p>
      <w:pPr>
        <w:pStyle w:val="Heading3"/>
      </w:pPr>
      <w:r>
        <w:t>4.3 Group work without moving furniture</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Grouping</w:t>
            </w:r>
          </w:p>
        </w:tc>
        <w:tc>
          <w:tcPr>
            <w:tcW w:type="dxa" w:w="4824"/>
            <w:shd w:val="clear" w:fill="2E5496"/>
          </w:tcPr>
          <w:p>
            <w:pPr>
              <w:spacing w:after="40"/>
            </w:pPr>
            <w:r>
              <w:rPr>
                <w:b/>
                <w:color w:val="FFFFFF"/>
                <w:sz w:val="20"/>
              </w:rPr>
            </w:r>
            <w:r>
              <w:rPr>
                <w:b/>
                <w:color w:val="FFFFFF"/>
                <w:sz w:val="20"/>
              </w:rPr>
              <w:t>How to do it in fixed rows</w:t>
            </w:r>
          </w:p>
        </w:tc>
      </w:tr>
      <w:tr>
        <w:tc>
          <w:tcPr>
            <w:tcW w:type="dxa" w:w="4824"/>
          </w:tcPr>
          <w:p>
            <w:pPr>
              <w:spacing w:after="40"/>
            </w:pPr>
            <w:r>
              <w:rPr>
                <w:sz w:val="19"/>
              </w:rPr>
            </w:r>
            <w:r>
              <w:rPr>
                <w:b/>
                <w:sz w:val="19"/>
              </w:rPr>
              <w:t>Pairs</w:t>
            </w:r>
          </w:p>
        </w:tc>
        <w:tc>
          <w:tcPr>
            <w:tcW w:type="dxa" w:w="4824"/>
          </w:tcPr>
          <w:p>
            <w:pPr>
              <w:spacing w:after="40"/>
            </w:pPr>
            <w:r>
              <w:rPr>
                <w:sz w:val="19"/>
              </w:rPr>
            </w:r>
            <w:r>
              <w:rPr>
                <w:sz w:val="19"/>
              </w:rPr>
              <w:t>Adjacent seats. Always available, no movement.</w:t>
            </w:r>
          </w:p>
        </w:tc>
      </w:tr>
      <w:tr>
        <w:tc>
          <w:tcPr>
            <w:tcW w:type="dxa" w:w="4824"/>
            <w:shd w:val="clear" w:fill="EEF3FA"/>
          </w:tcPr>
          <w:p>
            <w:pPr>
              <w:spacing w:after="40"/>
            </w:pPr>
            <w:r>
              <w:rPr>
                <w:sz w:val="19"/>
              </w:rPr>
            </w:r>
            <w:r>
              <w:rPr>
                <w:b/>
                <w:sz w:val="19"/>
              </w:rPr>
              <w:t>Threes and fours</w:t>
            </w:r>
          </w:p>
        </w:tc>
        <w:tc>
          <w:tcPr>
            <w:tcW w:type="dxa" w:w="4824"/>
            <w:shd w:val="clear" w:fill="EEF3FA"/>
          </w:tcPr>
          <w:p>
            <w:pPr>
              <w:spacing w:after="40"/>
            </w:pPr>
            <w:r>
              <w:rPr>
                <w:sz w:val="19"/>
              </w:rPr>
            </w:r>
            <w:r>
              <w:rPr>
                <w:sz w:val="19"/>
              </w:rPr>
              <w:t>The front row turns their chairs around to face the row behind. Lab chairs usually swivel — check on your first visit.</w:t>
            </w:r>
          </w:p>
        </w:tc>
      </w:tr>
      <w:tr>
        <w:tc>
          <w:tcPr>
            <w:tcW w:type="dxa" w:w="4824"/>
          </w:tcPr>
          <w:p>
            <w:pPr>
              <w:spacing w:after="40"/>
            </w:pPr>
            <w:r>
              <w:rPr>
                <w:sz w:val="19"/>
              </w:rPr>
            </w:r>
            <w:r>
              <w:rPr>
                <w:b/>
                <w:sz w:val="19"/>
              </w:rPr>
              <w:t>Three groups of 4–5</w:t>
            </w:r>
          </w:p>
        </w:tc>
        <w:tc>
          <w:tcPr>
            <w:tcW w:type="dxa" w:w="4824"/>
          </w:tcPr>
          <w:p>
            <w:pPr>
              <w:spacing w:after="40"/>
            </w:pPr>
            <w:r>
              <w:rPr>
                <w:sz w:val="19"/>
              </w:rPr>
            </w:r>
            <w:r>
              <w:rPr>
                <w:sz w:val="19"/>
              </w:rPr>
              <w:t>Left block / middle block / right block of the front two rows. Assign by position, not by friendship.</w:t>
            </w:r>
          </w:p>
        </w:tc>
      </w:tr>
      <w:tr>
        <w:tc>
          <w:tcPr>
            <w:tcW w:type="dxa" w:w="4824"/>
            <w:shd w:val="clear" w:fill="EEF3FA"/>
          </w:tcPr>
          <w:p>
            <w:pPr>
              <w:spacing w:after="40"/>
            </w:pPr>
            <w:r>
              <w:rPr>
                <w:sz w:val="19"/>
              </w:rPr>
            </w:r>
            <w:r>
              <w:rPr>
                <w:b/>
                <w:sz w:val="19"/>
              </w:rPr>
              <w:t>When you need real energy</w:t>
            </w:r>
          </w:p>
        </w:tc>
        <w:tc>
          <w:tcPr>
            <w:tcW w:type="dxa" w:w="4824"/>
            <w:shd w:val="clear" w:fill="EEF3FA"/>
          </w:tcPr>
          <w:p>
            <w:pPr>
              <w:spacing w:after="40"/>
            </w:pPr>
            <w:r>
              <w:rPr>
                <w:sz w:val="19"/>
              </w:rPr>
            </w:r>
            <w:r>
              <w:rPr>
                <w:sz w:val="19"/>
              </w:rPr>
              <w:t>Stand them up and move them to the side or back of the room for ten minutes, then send them back to type. Physical movement is the only reliable cure for a flat Sunday room.</w:t>
            </w:r>
          </w:p>
        </w:tc>
      </w:tr>
    </w:tbl>
    <w:p>
      <w:pPr>
        <w:spacing w:after="80"/>
      </w:pPr>
    </w:p>
    <w:p>
      <w:pPr>
        <w:pStyle w:val="Heading3"/>
      </w:pPr>
      <w:r>
        <w:t>4.4 The shared document is your whiteboard — this is the lab's real advantage</w:t>
      </w:r>
    </w:p>
    <w:p>
      <w:r>
        <w:t xml:space="preserve">A lab whiteboard is usually badly placed or unusable. Replace it with a </w:t>
      </w:r>
      <w:r>
        <w:rPr>
          <w:b/>
        </w:rPr>
        <w:t>shared Google Doc or Sheet, projected</w:t>
      </w:r>
      <w:r>
        <w:t>, that all 13 can type into at once.</w:t>
      </w:r>
    </w:p>
    <w:p>
      <w:r>
        <w:t>This solves three problems simultaneously:</w:t>
      </w:r>
    </w:p>
    <w:p>
      <w:pPr>
        <w:pStyle w:val="ListBullet"/>
      </w:pPr>
      <w:r>
        <w:rPr>
          <w:b/>
        </w:rPr>
        <w:t>Fixed seating</w:t>
      </w:r>
      <w:r>
        <w:t xml:space="preserve"> — nobody has to move to contribute</w:t>
      </w:r>
    </w:p>
    <w:p>
      <w:pPr>
        <w:pStyle w:val="ListBullet"/>
      </w:pPr>
      <w:r>
        <w:rPr>
          <w:b/>
        </w:rPr>
        <w:t>Quiet students</w:t>
      </w:r>
      <w:r>
        <w:t xml:space="preserve"> — they can contribute in writing, in real time, without speaking to the room</w:t>
      </w:r>
    </w:p>
    <w:p>
      <w:pPr>
        <w:pStyle w:val="ListBullet"/>
      </w:pPr>
      <w:r>
        <w:rPr>
          <w:b/>
        </w:rPr>
        <w:t>Your record</w:t>
      </w:r>
      <w:r>
        <w:t xml:space="preserve"> — at the end of each session you have a written artefact of what the class produced, which is exactly what you send Dr Lee</w:t>
      </w:r>
    </w:p>
    <w:p>
      <w:r>
        <w:rPr>
          <w:b/>
        </w:rPr>
        <w:t>Set it up as a persistent four-session document</w:t>
      </w:r>
      <w:r>
        <w:t xml:space="preserve"> with a section per Sunday. Put the four-analytics ladder at the top of page one and leave it there — that replaces the "words on the whiteboard" idea, since a lab board won't do the job.</w:t>
      </w:r>
    </w:p>
    <w:p>
      <w:r>
        <w:rPr>
          <w:b/>
        </w:rPr>
        <w:t>Two mechanics that make it work:</w:t>
      </w:r>
    </w:p>
    <w:p>
      <w:pPr>
        <w:pStyle w:val="ListBullet"/>
      </w:pPr>
      <w:r>
        <w:t>Pre-build the structure — headings and empty rows — so they fill blanks rather than face a blank page</w:t>
      </w:r>
    </w:p>
    <w:p>
      <w:pPr>
        <w:pStyle w:val="ListBullet"/>
      </w:pPr>
      <w:r>
        <w:t xml:space="preserve">Ask for </w:t>
      </w:r>
      <w:r>
        <w:rPr>
          <w:b/>
        </w:rPr>
        <w:t>one line each, no names needed</w:t>
      </w:r>
      <w:r>
        <w:t>, then read three of them aloud. Anonymity raises the honesty of what gets typed considerably</w:t>
      </w:r>
    </w:p>
    <w:p>
      <w:pPr>
        <w:pStyle w:val="Heading3"/>
      </w:pPr>
      <w:r>
        <w:t>4.5 English delivery, postgraduate non-native room</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Do</w:t>
            </w:r>
          </w:p>
        </w:tc>
        <w:tc>
          <w:tcPr>
            <w:tcW w:type="dxa" w:w="4824"/>
            <w:shd w:val="clear" w:fill="2E5496"/>
          </w:tcPr>
          <w:p>
            <w:pPr>
              <w:spacing w:after="40"/>
            </w:pPr>
            <w:r>
              <w:rPr>
                <w:b/>
                <w:color w:val="FFFFFF"/>
                <w:sz w:val="20"/>
              </w:rPr>
            </w:r>
            <w:r>
              <w:rPr>
                <w:b/>
                <w:color w:val="FFFFFF"/>
                <w:sz w:val="20"/>
              </w:rPr>
              <w:t>Why</w:t>
            </w:r>
          </w:p>
        </w:tc>
      </w:tr>
      <w:tr>
        <w:tc>
          <w:tcPr>
            <w:tcW w:type="dxa" w:w="4824"/>
          </w:tcPr>
          <w:p>
            <w:pPr>
              <w:spacing w:after="40"/>
            </w:pPr>
            <w:r>
              <w:rPr>
                <w:sz w:val="19"/>
              </w:rPr>
            </w:r>
            <w:r>
              <w:rPr>
                <w:b/>
                <w:sz w:val="19"/>
              </w:rPr>
              <w:t>Slow down consciously</w:t>
            </w:r>
          </w:p>
        </w:tc>
        <w:tc>
          <w:tcPr>
            <w:tcW w:type="dxa" w:w="4824"/>
          </w:tcPr>
          <w:p>
            <w:pPr>
              <w:spacing w:after="40"/>
            </w:pPr>
            <w:r>
              <w:rPr>
                <w:sz w:val="19"/>
              </w:rPr>
            </w:r>
            <w:r>
              <w:rPr>
                <w:sz w:val="19"/>
              </w:rPr>
              <w:t>Speed, not vocabulary, is the main barrier. Professional vocabulary is fine — these are master's students.</w:t>
            </w:r>
          </w:p>
        </w:tc>
      </w:tr>
      <w:tr>
        <w:tc>
          <w:tcPr>
            <w:tcW w:type="dxa" w:w="4824"/>
            <w:shd w:val="clear" w:fill="EEF3FA"/>
          </w:tcPr>
          <w:p>
            <w:pPr>
              <w:spacing w:after="40"/>
            </w:pPr>
            <w:r>
              <w:rPr>
                <w:sz w:val="19"/>
              </w:rPr>
            </w:r>
            <w:r>
              <w:rPr>
                <w:b/>
                <w:sz w:val="19"/>
              </w:rPr>
              <w:t>Project every key term in writing</w:t>
            </w:r>
          </w:p>
        </w:tc>
        <w:tc>
          <w:tcPr>
            <w:tcW w:type="dxa" w:w="4824"/>
            <w:shd w:val="clear" w:fill="EEF3FA"/>
          </w:tcPr>
          <w:p>
            <w:pPr>
              <w:spacing w:after="40"/>
            </w:pPr>
            <w:r>
              <w:rPr>
                <w:sz w:val="19"/>
              </w:rPr>
            </w:r>
            <w:r>
              <w:rPr>
                <w:sz w:val="19"/>
              </w:rPr>
              <w:t>Put new terms on the slide and in the shared doc. Most people read English better than they hear it, especially a term they've never met.</w:t>
            </w:r>
          </w:p>
        </w:tc>
      </w:tr>
      <w:tr>
        <w:tc>
          <w:tcPr>
            <w:tcW w:type="dxa" w:w="4824"/>
          </w:tcPr>
          <w:p>
            <w:pPr>
              <w:spacing w:after="40"/>
            </w:pPr>
            <w:r>
              <w:rPr>
                <w:sz w:val="19"/>
              </w:rPr>
            </w:r>
            <w:r>
              <w:rPr>
                <w:b/>
                <w:sz w:val="19"/>
              </w:rPr>
              <w:t>Drop idioms and sports metaphors</w:t>
            </w:r>
          </w:p>
        </w:tc>
        <w:tc>
          <w:tcPr>
            <w:tcW w:type="dxa" w:w="4824"/>
          </w:tcPr>
          <w:p>
            <w:pPr>
              <w:spacing w:after="40"/>
            </w:pPr>
            <w:r>
              <w:rPr>
                <w:sz w:val="19"/>
              </w:rPr>
            </w:r>
            <w:r>
              <w:rPr>
                <w:sz w:val="19"/>
              </w:rPr>
              <w:t>"Move the needle", "out of the ballpark", "a slam dunk" — cut them. Legal and technical terms are fine; colloquialisms are not.</w:t>
            </w:r>
          </w:p>
        </w:tc>
      </w:tr>
      <w:tr>
        <w:tc>
          <w:tcPr>
            <w:tcW w:type="dxa" w:w="4824"/>
            <w:shd w:val="clear" w:fill="EEF3FA"/>
          </w:tcPr>
          <w:p>
            <w:pPr>
              <w:spacing w:after="40"/>
            </w:pPr>
            <w:r>
              <w:rPr>
                <w:sz w:val="19"/>
              </w:rPr>
            </w:r>
            <w:r>
              <w:rPr>
                <w:b/>
                <w:sz w:val="19"/>
              </w:rPr>
              <w:t>Explain HK-specific shorthand once, then reuse it</w:t>
            </w:r>
          </w:p>
        </w:tc>
        <w:tc>
          <w:tcPr>
            <w:tcW w:type="dxa" w:w="4824"/>
            <w:shd w:val="clear" w:fill="EEF3FA"/>
          </w:tcPr>
          <w:p>
            <w:pPr>
              <w:spacing w:after="40"/>
            </w:pPr>
            <w:r>
              <w:rPr>
                <w:sz w:val="19"/>
              </w:rPr>
            </w:r>
            <w:r>
              <w:rPr>
                <w:sz w:val="19"/>
              </w:rPr>
              <w:t>"MPF", "the EO", "the 4-18 rule", "IANG", "the HKMA" — define each on first use and put it in the shared doc's glossary section. They are new to Hong Kong.</w:t>
            </w:r>
          </w:p>
        </w:tc>
      </w:tr>
      <w:tr>
        <w:tc>
          <w:tcPr>
            <w:tcW w:type="dxa" w:w="4824"/>
          </w:tcPr>
          <w:p>
            <w:pPr>
              <w:spacing w:after="40"/>
            </w:pPr>
            <w:r>
              <w:rPr>
                <w:sz w:val="19"/>
              </w:rPr>
            </w:r>
            <w:r>
              <w:rPr>
                <w:b/>
                <w:sz w:val="19"/>
              </w:rPr>
              <w:t>Written first, then spoken</w:t>
            </w:r>
          </w:p>
        </w:tc>
        <w:tc>
          <w:tcPr>
            <w:tcW w:type="dxa" w:w="4824"/>
          </w:tcPr>
          <w:p>
            <w:pPr>
              <w:spacing w:after="40"/>
            </w:pPr>
            <w:r>
              <w:rPr>
                <w:sz w:val="19"/>
              </w:rPr>
            </w:r>
            <w:r>
              <w:rPr>
                <w:i/>
                <w:sz w:val="19"/>
              </w:rPr>
              <w:t>"Ninety seconds — type one line into the shared doc."</w:t>
            </w:r>
            <w:r>
              <w:rPr>
                <w:sz w:val="19"/>
              </w:rPr>
              <w:t xml:space="preserve"> Then discuss. This doubles participation and disproportionately helps someone composing in a second language.</w:t>
            </w:r>
          </w:p>
        </w:tc>
      </w:tr>
      <w:tr>
        <w:tc>
          <w:tcPr>
            <w:tcW w:type="dxa" w:w="4824"/>
            <w:shd w:val="clear" w:fill="EEF3FA"/>
          </w:tcPr>
          <w:p>
            <w:pPr>
              <w:spacing w:after="40"/>
            </w:pPr>
            <w:r>
              <w:rPr>
                <w:sz w:val="19"/>
              </w:rPr>
            </w:r>
            <w:r>
              <w:rPr>
                <w:b/>
                <w:sz w:val="19"/>
              </w:rPr>
              <w:t>Structured turn-taking</w:t>
            </w:r>
          </w:p>
        </w:tc>
        <w:tc>
          <w:tcPr>
            <w:tcW w:type="dxa" w:w="4824"/>
            <w:shd w:val="clear" w:fill="EEF3FA"/>
          </w:tcPr>
          <w:p>
            <w:pPr>
              <w:spacing w:after="40"/>
            </w:pPr>
            <w:r>
              <w:rPr>
                <w:sz w:val="19"/>
              </w:rPr>
            </w:r>
            <w:r>
              <w:rPr>
                <w:sz w:val="19"/>
              </w:rPr>
              <w:t>Nominate by name after a pair discussion, or go along a row. In several cultures, volunteering in front of a teacher is not the norm; a structure is inclusive, not rude.</w:t>
            </w:r>
          </w:p>
        </w:tc>
      </w:tr>
      <w:tr>
        <w:tc>
          <w:tcPr>
            <w:tcW w:type="dxa" w:w="4824"/>
          </w:tcPr>
          <w:p>
            <w:pPr>
              <w:spacing w:after="40"/>
            </w:pPr>
            <w:r>
              <w:rPr>
                <w:sz w:val="19"/>
              </w:rPr>
            </w:r>
            <w:r>
              <w:rPr>
                <w:b/>
                <w:sz w:val="19"/>
              </w:rPr>
              <w:t>Reformulate what you hear</w:t>
            </w:r>
          </w:p>
        </w:tc>
        <w:tc>
          <w:tcPr>
            <w:tcW w:type="dxa" w:w="4824"/>
          </w:tcPr>
          <w:p>
            <w:pPr>
              <w:spacing w:after="40"/>
            </w:pPr>
            <w:r>
              <w:rPr>
                <w:sz w:val="19"/>
              </w:rPr>
            </w:r>
            <w:r>
              <w:rPr>
                <w:i/>
                <w:sz w:val="19"/>
              </w:rPr>
              <w:t>"So you're saying X — have I got that right?"</w:t>
            </w:r>
            <w:r>
              <w:rPr>
                <w:sz w:val="19"/>
              </w:rPr>
              <w:t xml:space="preserve"> Gives the speaker a correction chance and the room a second hearing.</w:t>
            </w:r>
          </w:p>
        </w:tc>
      </w:tr>
      <w:tr>
        <w:tc>
          <w:tcPr>
            <w:tcW w:type="dxa" w:w="4824"/>
            <w:shd w:val="clear" w:fill="EEF3FA"/>
          </w:tcPr>
          <w:p>
            <w:pPr>
              <w:spacing w:after="40"/>
            </w:pPr>
            <w:r>
              <w:rPr>
                <w:sz w:val="19"/>
              </w:rPr>
            </w:r>
            <w:r>
              <w:rPr>
                <w:b/>
                <w:sz w:val="19"/>
              </w:rPr>
              <w:t>Pitch at postgraduate level</w:t>
            </w:r>
          </w:p>
        </w:tc>
        <w:tc>
          <w:tcPr>
            <w:tcW w:type="dxa" w:w="4824"/>
            <w:shd w:val="clear" w:fill="EEF3FA"/>
          </w:tcPr>
          <w:p>
            <w:pPr>
              <w:spacing w:after="40"/>
            </w:pPr>
            <w:r>
              <w:rPr>
                <w:sz w:val="19"/>
              </w:rPr>
            </w:r>
            <w:r>
              <w:rPr>
                <w:sz w:val="19"/>
              </w:rPr>
              <w:t>They can handle a regulation, a statutory reference and a journal finding. What they cannot handle is three of them per minute. Depth yes; density no.</w:t>
            </w:r>
          </w:p>
        </w:tc>
      </w:tr>
    </w:tbl>
    <w:p>
      <w:pPr>
        <w:spacing w:after="80"/>
      </w:pPr>
    </w:p>
    <w:p>
      <w:pPr>
        <w:pStyle w:val="Heading3"/>
      </w:pPr>
      <w:r>
        <w:t>4.6 Names, and why 13 is a gift</w:t>
      </w:r>
    </w:p>
    <w:p>
      <w:r>
        <w:t>Name cards on the monitors for Sundays 1 and 2. Ask for the name they want to be called. Use it every time you respond.</w:t>
      </w:r>
    </w:p>
    <w:p>
      <w:r>
        <w:t xml:space="preserve">By Sunday 2 you should be able to say: </w:t>
      </w:r>
      <w:r>
        <w:rPr>
          <w:i/>
        </w:rPr>
        <w:t>"Wei, you argued the opposite last week — has that changed?"</w:t>
      </w:r>
      <w:r>
        <w:t xml:space="preserve"> That one sentence does more for the room than any slide in this document.</w:t>
      </w:r>
    </w:p>
    <w:p>
      <w:pPr>
        <w:pStyle w:val="Heading3"/>
      </w:pPr>
      <w:r>
        <w:t>4.7 Sunday energy</w:t>
      </w:r>
    </w:p>
    <w:p>
      <w:pPr>
        <w:pStyle w:val="ListBullet"/>
      </w:pPr>
      <w:r>
        <w:rPr>
          <w:b/>
        </w:rPr>
        <w:t>Nothing runs more than 20 minutes</w:t>
      </w:r>
      <w:r>
        <w:t xml:space="preserve"> without a change of state.</w:t>
      </w:r>
    </w:p>
    <w:p>
      <w:pPr>
        <w:pStyle w:val="ListBullet"/>
      </w:pPr>
      <w:r>
        <w:rPr>
          <w:b/>
        </w:rPr>
        <w:t>Five blocks per session.</w:t>
      </w:r>
      <w:r>
        <w:t xml:space="preserve"> Every run sheet below is built that way.</w:t>
      </w:r>
    </w:p>
    <w:p>
      <w:pPr>
        <w:pStyle w:val="ListBullet"/>
      </w:pPr>
      <w:r>
        <w:t xml:space="preserve">Break at roughly 50–55 minutes, ten minutes, </w:t>
      </w:r>
      <w:r>
        <w:rPr>
          <w:b/>
        </w:rPr>
        <w:t>with the return time shown as a clock time</w:t>
      </w:r>
      <w:r>
        <w:t xml:space="preserve"> on the projector.</w:t>
      </w:r>
    </w:p>
    <w:p>
      <w:pPr>
        <w:pStyle w:val="ListBullet"/>
      </w:pPr>
      <w:r>
        <w:t xml:space="preserve">If the room flattens: stand them up, 90 seconds, </w:t>
      </w:r>
      <w:r>
        <w:rPr>
          <w:i/>
        </w:rPr>
        <w:t>"tell the person next to you the one thing you'd do differently."</w:t>
      </w:r>
    </w:p>
    <w:p>
      <w:r>
        <w:br w:type="page"/>
      </w:r>
    </w:p>
    <w:p>
      <w:pPr>
        <w:pStyle w:val="Heading2"/>
      </w:pPr>
      <w:r>
        <w:t>5. The four-analytics ladder — the 12-minute version (Sunday 1)</w:t>
      </w:r>
    </w:p>
    <w:p>
      <w:r>
        <w:t>Light, as agreed. A spine, not a lecture on analytics.</w:t>
      </w:r>
    </w:p>
    <w:p>
      <w:r>
        <w:rPr>
          <w:b/>
        </w:rPr>
        <w:t>Put these four words at the top of the shared document, and leave them there for all four Sundays:</w:t>
      </w:r>
    </w:p>
    <w:p>
      <w:pPr>
        <w:spacing w:after="0" w:line="240" w:lineRule="auto"/>
      </w:pPr>
      <w:r>
        <w:rPr>
          <w:rFonts w:ascii="Consolas" w:hAnsi="Consolas" w:eastAsia="Consolas"/>
          <w:sz w:val="18"/>
        </w:rPr>
        <w:t xml:space="preserve">   DESCRIBE  →  DIAGNOSE  →  PREDICT  →  PRESCRIBE</w:t>
      </w:r>
    </w:p>
    <w:p>
      <w:pPr>
        <w:spacing w:after="80"/>
      </w:pPr>
    </w:p>
    <w:p>
      <w:r>
        <w:rPr>
          <w:b/>
        </w:rPr>
        <w:t>Teach it with one Hong Kong example, climbing:</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Rung</w:t>
            </w:r>
          </w:p>
        </w:tc>
        <w:tc>
          <w:tcPr>
            <w:tcW w:type="dxa" w:w="3216"/>
            <w:shd w:val="clear" w:fill="2E5496"/>
          </w:tcPr>
          <w:p>
            <w:pPr>
              <w:spacing w:after="40"/>
            </w:pPr>
            <w:r>
              <w:rPr>
                <w:b/>
                <w:color w:val="FFFFFF"/>
                <w:sz w:val="20"/>
              </w:rPr>
            </w:r>
            <w:r>
              <w:rPr>
                <w:b/>
                <w:color w:val="FFFFFF"/>
                <w:sz w:val="20"/>
              </w:rPr>
              <w:t>The question</w:t>
            </w:r>
          </w:p>
        </w:tc>
        <w:tc>
          <w:tcPr>
            <w:tcW w:type="dxa" w:w="3216"/>
            <w:shd w:val="clear" w:fill="2E5496"/>
          </w:tcPr>
          <w:p>
            <w:pPr>
              <w:spacing w:after="40"/>
            </w:pPr>
            <w:r>
              <w:rPr>
                <w:b/>
                <w:color w:val="FFFFFF"/>
                <w:sz w:val="20"/>
              </w:rPr>
            </w:r>
            <w:r>
              <w:rPr>
                <w:b/>
                <w:color w:val="FFFFFF"/>
                <w:sz w:val="20"/>
              </w:rPr>
              <w:t>The same example</w:t>
            </w:r>
          </w:p>
        </w:tc>
      </w:tr>
      <w:tr>
        <w:tc>
          <w:tcPr>
            <w:tcW w:type="dxa" w:w="3216"/>
          </w:tcPr>
          <w:p>
            <w:pPr>
              <w:spacing w:after="40"/>
            </w:pPr>
            <w:r>
              <w:rPr>
                <w:sz w:val="19"/>
              </w:rPr>
            </w:r>
            <w:r>
              <w:rPr>
                <w:b/>
                <w:sz w:val="19"/>
              </w:rPr>
              <w:t>Describe</w:t>
            </w:r>
          </w:p>
        </w:tc>
        <w:tc>
          <w:tcPr>
            <w:tcW w:type="dxa" w:w="3216"/>
          </w:tcPr>
          <w:p>
            <w:pPr>
              <w:spacing w:after="40"/>
            </w:pPr>
            <w:r>
              <w:rPr>
                <w:sz w:val="19"/>
              </w:rPr>
            </w:r>
            <w:r>
              <w:rPr>
                <w:sz w:val="19"/>
              </w:rPr>
              <w:t>What happened?</w:t>
            </w:r>
          </w:p>
        </w:tc>
        <w:tc>
          <w:tcPr>
            <w:tcW w:type="dxa" w:w="3216"/>
          </w:tcPr>
          <w:p>
            <w:pPr>
              <w:spacing w:after="40"/>
            </w:pPr>
            <w:r>
              <w:rPr>
                <w:sz w:val="19"/>
              </w:rPr>
            </w:r>
            <w:r>
              <w:rPr>
                <w:sz w:val="19"/>
              </w:rPr>
              <w:t>Voluntary attrition was 24% last year across the engineering function.</w:t>
            </w:r>
          </w:p>
        </w:tc>
      </w:tr>
      <w:tr>
        <w:tc>
          <w:tcPr>
            <w:tcW w:type="dxa" w:w="3216"/>
            <w:shd w:val="clear" w:fill="EEF3FA"/>
          </w:tcPr>
          <w:p>
            <w:pPr>
              <w:spacing w:after="40"/>
            </w:pPr>
            <w:r>
              <w:rPr>
                <w:sz w:val="19"/>
              </w:rPr>
            </w:r>
            <w:r>
              <w:rPr>
                <w:b/>
                <w:sz w:val="19"/>
              </w:rPr>
              <w:t>Diagnose</w:t>
            </w:r>
          </w:p>
        </w:tc>
        <w:tc>
          <w:tcPr>
            <w:tcW w:type="dxa" w:w="3216"/>
            <w:shd w:val="clear" w:fill="EEF3FA"/>
          </w:tcPr>
          <w:p>
            <w:pPr>
              <w:spacing w:after="40"/>
            </w:pPr>
            <w:r>
              <w:rPr>
                <w:sz w:val="19"/>
              </w:rPr>
            </w:r>
            <w:r>
              <w:rPr>
                <w:sz w:val="19"/>
              </w:rPr>
              <w:t>Why?</w:t>
            </w:r>
          </w:p>
        </w:tc>
        <w:tc>
          <w:tcPr>
            <w:tcW w:type="dxa" w:w="3216"/>
            <w:shd w:val="clear" w:fill="EEF3FA"/>
          </w:tcPr>
          <w:p>
            <w:pPr>
              <w:spacing w:after="40"/>
            </w:pPr>
            <w:r>
              <w:rPr>
                <w:sz w:val="19"/>
              </w:rPr>
            </w:r>
            <w:r>
              <w:rPr>
                <w:sz w:val="19"/>
              </w:rPr>
              <w:t>It wasn't evenly spread — it concentrated in staff with 12–24 months' service, under three managers, and it spiked in the eight weeks after the annual bonus was paid.</w:t>
            </w:r>
          </w:p>
        </w:tc>
      </w:tr>
      <w:tr>
        <w:tc>
          <w:tcPr>
            <w:tcW w:type="dxa" w:w="3216"/>
          </w:tcPr>
          <w:p>
            <w:pPr>
              <w:spacing w:after="40"/>
            </w:pPr>
            <w:r>
              <w:rPr>
                <w:sz w:val="19"/>
              </w:rPr>
            </w:r>
            <w:r>
              <w:rPr>
                <w:b/>
                <w:sz w:val="19"/>
              </w:rPr>
              <w:t>Predict</w:t>
            </w:r>
          </w:p>
        </w:tc>
        <w:tc>
          <w:tcPr>
            <w:tcW w:type="dxa" w:w="3216"/>
          </w:tcPr>
          <w:p>
            <w:pPr>
              <w:spacing w:after="40"/>
            </w:pPr>
            <w:r>
              <w:rPr>
                <w:sz w:val="19"/>
              </w:rPr>
            </w:r>
            <w:r>
              <w:rPr>
                <w:sz w:val="19"/>
              </w:rPr>
              <w:t>What will happen?</w:t>
            </w:r>
          </w:p>
        </w:tc>
        <w:tc>
          <w:tcPr>
            <w:tcW w:type="dxa" w:w="3216"/>
          </w:tcPr>
          <w:p>
            <w:pPr>
              <w:spacing w:after="40"/>
            </w:pPr>
            <w:r>
              <w:rPr>
                <w:sz w:val="19"/>
              </w:rPr>
            </w:r>
            <w:r>
              <w:rPr>
                <w:sz w:val="19"/>
              </w:rPr>
              <w:t>These 40 people are at elevated risk over the next six months.</w:t>
            </w:r>
          </w:p>
        </w:tc>
      </w:tr>
      <w:tr>
        <w:tc>
          <w:tcPr>
            <w:tcW w:type="dxa" w:w="3216"/>
            <w:shd w:val="clear" w:fill="EEF3FA"/>
          </w:tcPr>
          <w:p>
            <w:pPr>
              <w:spacing w:after="40"/>
            </w:pPr>
            <w:r>
              <w:rPr>
                <w:sz w:val="19"/>
              </w:rPr>
            </w:r>
            <w:r>
              <w:rPr>
                <w:b/>
                <w:sz w:val="19"/>
              </w:rPr>
              <w:t>Prescribe</w:t>
            </w:r>
          </w:p>
        </w:tc>
        <w:tc>
          <w:tcPr>
            <w:tcW w:type="dxa" w:w="3216"/>
            <w:shd w:val="clear" w:fill="EEF3FA"/>
          </w:tcPr>
          <w:p>
            <w:pPr>
              <w:spacing w:after="40"/>
            </w:pPr>
            <w:r>
              <w:rPr>
                <w:sz w:val="19"/>
              </w:rPr>
            </w:r>
            <w:r>
              <w:rPr>
                <w:sz w:val="19"/>
              </w:rPr>
              <w:t>What should we do?</w:t>
            </w:r>
          </w:p>
        </w:tc>
        <w:tc>
          <w:tcPr>
            <w:tcW w:type="dxa" w:w="3216"/>
            <w:shd w:val="clear" w:fill="EEF3FA"/>
          </w:tcPr>
          <w:p>
            <w:pPr>
              <w:spacing w:after="40"/>
            </w:pPr>
            <w:r>
              <w:rPr>
                <w:sz w:val="19"/>
              </w:rPr>
            </w:r>
            <w:r>
              <w:rPr>
                <w:sz w:val="19"/>
              </w:rPr>
              <w:t>Given a HK$2m retention budget and an eight-week hiring lead time, here is where to spend it and here is what we expect back.</w:t>
            </w:r>
          </w:p>
        </w:tc>
      </w:tr>
    </w:tbl>
    <w:p>
      <w:pPr>
        <w:spacing w:after="80"/>
      </w:pPr>
    </w:p>
    <w:p>
      <w:r>
        <w:rPr>
          <w:b/>
        </w:rPr>
        <w:t>The three sentences that make it stick:</w:t>
      </w:r>
    </w:p>
    <w:p>
      <w:pPr>
        <w:pStyle w:val="ListNumber"/>
      </w:pPr>
      <w:r>
        <w:rPr>
          <w:i/>
        </w:rPr>
        <w:t>"As you climb, the value goes up — and so does the ethical weight. Nobody is upset by a headcount number. People are upset by a list with their name on it."</w:t>
      </w:r>
    </w:p>
    <w:p>
      <w:pPr>
        <w:pStyle w:val="ListNumber"/>
      </w:pPr>
      <w:r>
        <w:rPr>
          <w:i/>
        </w:rPr>
        <w:t>"Most organisations live on rung one and believe they are doing analytics."</w:t>
      </w:r>
    </w:p>
    <w:p>
      <w:pPr>
        <w:pStyle w:val="ListNumber"/>
      </w:pPr>
      <w:r>
        <w:rPr>
          <w:i/>
        </w:rPr>
        <w:t>"All four of my Sundays climb this same staircase. By the fourth, you'll place any HR question on it in about five seconds."</w:t>
      </w:r>
    </w:p>
    <w:p>
      <w:r>
        <w:rPr>
          <w:b/>
        </w:rPr>
        <w:t>Check it immediately (the 12th minute):</w:t>
      </w:r>
      <w:r>
        <w:t xml:space="preserve"> </w:t>
      </w:r>
      <w:r>
        <w:rPr>
          <w:i/>
        </w:rPr>
        <w:t>"Give me any HR question and the room will tell me which rung it sits on."</w:t>
      </w:r>
      <w:r>
        <w:t xml:space="preserve"> Take three, type them into the shared doc under the right heading.</w:t>
      </w:r>
    </w:p>
    <w:p>
      <w:r>
        <w:rPr>
          <w:b/>
        </w:rPr>
        <w:t>Sundays 2–4:</w:t>
      </w:r>
      <w:r>
        <w:t xml:space="preserve"> 90 seconds. </w:t>
      </w:r>
      <w:r>
        <w:rPr>
          <w:i/>
        </w:rPr>
        <w:t>"Where are we on the staircase today?"</w:t>
      </w:r>
      <w:r>
        <w:t xml:space="preserve"> Point at the top of the shared doc.</w:t>
      </w:r>
    </w:p>
    <w:p>
      <w:r>
        <w:br w:type="page"/>
      </w:r>
    </w:p>
    <w:p>
      <w:pPr>
        <w:pStyle w:val="Heading2"/>
      </w:pPr>
      <w:r>
        <w:t>6. Sunday 1 — Strategic Resourcing in Hong Kong</w:t>
      </w:r>
    </w:p>
    <w:p>
      <w:r>
        <w:rPr>
          <w:b/>
        </w:rPr>
        <w:t>"How many people do we need, and can Hong Kong actually supply them?"</w:t>
      </w:r>
    </w:p>
    <w:p>
      <w:pPr>
        <w:pStyle w:val="Heading3"/>
      </w:pPr>
      <w:r>
        <w:t>The one big idea</w:t>
      </w:r>
    </w:p>
    <w:p>
      <w:pPr>
        <w:pStyle w:val="IntenseQuote"/>
      </w:pPr>
      <w:r>
        <w:rPr>
          <w:b/>
        </w:rPr>
        <w:t>A headcount plan is not a hiring plan. Lead time, competence requirements and the cost of getting it wrong decide what is actually possible.</w:t>
      </w:r>
    </w:p>
    <w:p>
      <w:pPr>
        <w:pStyle w:val="Heading3"/>
      </w:pPr>
      <w:r>
        <w:t>Run sheet (120 min)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Time</w:t>
            </w:r>
          </w:p>
        </w:tc>
        <w:tc>
          <w:tcPr>
            <w:tcW w:type="dxa" w:w="3216"/>
            <w:shd w:val="clear" w:fill="2E5496"/>
          </w:tcPr>
          <w:p>
            <w:pPr>
              <w:spacing w:after="40"/>
            </w:pPr>
            <w:r>
              <w:rPr>
                <w:b/>
                <w:color w:val="FFFFFF"/>
                <w:sz w:val="20"/>
              </w:rPr>
            </w:r>
            <w:r>
              <w:rPr>
                <w:b/>
                <w:color w:val="FFFFFF"/>
                <w:sz w:val="20"/>
              </w:rPr>
              <w:t>Block</w:t>
            </w:r>
          </w:p>
        </w:tc>
        <w:tc>
          <w:tcPr>
            <w:tcW w:type="dxa" w:w="3216"/>
            <w:shd w:val="clear" w:fill="2E5496"/>
          </w:tcPr>
          <w:p>
            <w:pPr>
              <w:spacing w:after="40"/>
            </w:pPr>
            <w:r>
              <w:rPr>
                <w:b/>
                <w:color w:val="FFFFFF"/>
                <w:sz w:val="20"/>
              </w:rPr>
            </w:r>
            <w:r>
              <w:rPr>
                <w:b/>
                <w:color w:val="FFFFFF"/>
                <w:sz w:val="20"/>
              </w:rPr>
              <w:t>What happens</w:t>
            </w:r>
          </w:p>
        </w:tc>
      </w:tr>
      <w:tr>
        <w:tc>
          <w:tcPr>
            <w:tcW w:type="dxa" w:w="3216"/>
          </w:tcPr>
          <w:p>
            <w:pPr>
              <w:spacing w:after="40"/>
            </w:pPr>
            <w:r>
              <w:rPr>
                <w:sz w:val="19"/>
              </w:rPr>
            </w:r>
            <w:r>
              <w:rPr>
                <w:sz w:val="19"/>
              </w:rPr>
              <w:t>0–5</w:t>
            </w:r>
          </w:p>
        </w:tc>
        <w:tc>
          <w:tcPr>
            <w:tcW w:type="dxa" w:w="3216"/>
          </w:tcPr>
          <w:p>
            <w:pPr>
              <w:spacing w:after="40"/>
            </w:pPr>
            <w:r>
              <w:rPr>
                <w:sz w:val="19"/>
              </w:rPr>
            </w:r>
            <w:r>
              <w:rPr>
                <w:b/>
                <w:sz w:val="19"/>
              </w:rPr>
              <w:t>Open</w:t>
            </w:r>
          </w:p>
        </w:tc>
        <w:tc>
          <w:tcPr>
            <w:tcW w:type="dxa" w:w="3216"/>
          </w:tcPr>
          <w:p>
            <w:pPr>
              <w:spacing w:after="40"/>
            </w:pPr>
            <w:r>
              <w:rPr>
                <w:sz w:val="19"/>
              </w:rPr>
            </w:r>
            <w:r>
              <w:rPr>
                <w:sz w:val="19"/>
              </w:rPr>
              <w:t xml:space="preserve">Name cards. Your 60-second why-me. </w:t>
            </w:r>
            <w:r>
              <w:rPr>
                <w:b/>
                <w:sz w:val="19"/>
              </w:rPr>
              <w:t>Set the screen protocol (4.1) and use it immediately.</w:t>
            </w:r>
          </w:p>
        </w:tc>
      </w:tr>
      <w:tr>
        <w:tc>
          <w:tcPr>
            <w:tcW w:type="dxa" w:w="3216"/>
            <w:shd w:val="clear" w:fill="EEF3FA"/>
          </w:tcPr>
          <w:p>
            <w:pPr>
              <w:spacing w:after="40"/>
            </w:pPr>
            <w:r>
              <w:rPr>
                <w:sz w:val="19"/>
              </w:rPr>
            </w:r>
            <w:r>
              <w:rPr>
                <w:sz w:val="19"/>
              </w:rPr>
              <w:t>5–12</w:t>
            </w:r>
          </w:p>
        </w:tc>
        <w:tc>
          <w:tcPr>
            <w:tcW w:type="dxa" w:w="3216"/>
            <w:shd w:val="clear" w:fill="EEF3FA"/>
          </w:tcPr>
          <w:p>
            <w:pPr>
              <w:spacing w:after="40"/>
            </w:pPr>
            <w:r>
              <w:rPr>
                <w:sz w:val="19"/>
              </w:rPr>
            </w:r>
            <w:r>
              <w:rPr>
                <w:b/>
                <w:sz w:val="19"/>
              </w:rPr>
              <w:t>"You are the data"</w:t>
            </w:r>
          </w:p>
        </w:tc>
        <w:tc>
          <w:tcPr>
            <w:tcW w:type="dxa" w:w="3216"/>
            <w:shd w:val="clear" w:fill="EEF3FA"/>
          </w:tcPr>
          <w:p>
            <w:pPr>
              <w:spacing w:after="40"/>
            </w:pPr>
            <w:r>
              <w:rPr>
                <w:sz w:val="19"/>
              </w:rPr>
            </w:r>
            <w:r>
              <w:rPr>
                <w:sz w:val="19"/>
              </w:rPr>
              <w:t xml:space="preserve">Section 3.3. IANG, and what it means that a room of non-local graduates is part of a city's talent strategy. Show of hands: </w:t>
            </w:r>
            <w:r>
              <w:rPr>
                <w:i/>
                <w:sz w:val="19"/>
              </w:rPr>
              <w:t>"who is planning to work in Hong Kong after this?"</w:t>
            </w:r>
          </w:p>
        </w:tc>
      </w:tr>
      <w:tr>
        <w:tc>
          <w:tcPr>
            <w:tcW w:type="dxa" w:w="3216"/>
          </w:tcPr>
          <w:p>
            <w:pPr>
              <w:spacing w:after="40"/>
            </w:pPr>
            <w:r>
              <w:rPr>
                <w:sz w:val="19"/>
              </w:rPr>
            </w:r>
            <w:r>
              <w:rPr>
                <w:sz w:val="19"/>
              </w:rPr>
              <w:t>12–24</w:t>
            </w:r>
          </w:p>
        </w:tc>
        <w:tc>
          <w:tcPr>
            <w:tcW w:type="dxa" w:w="3216"/>
          </w:tcPr>
          <w:p>
            <w:pPr>
              <w:spacing w:after="40"/>
            </w:pPr>
            <w:r>
              <w:rPr>
                <w:sz w:val="19"/>
              </w:rPr>
            </w:r>
            <w:r>
              <w:rPr>
                <w:b/>
                <w:sz w:val="19"/>
              </w:rPr>
              <w:t>The ladder</w:t>
            </w:r>
          </w:p>
        </w:tc>
        <w:tc>
          <w:tcPr>
            <w:tcW w:type="dxa" w:w="3216"/>
          </w:tcPr>
          <w:p>
            <w:pPr>
              <w:spacing w:after="40"/>
            </w:pPr>
            <w:r>
              <w:rPr>
                <w:sz w:val="19"/>
              </w:rPr>
            </w:r>
            <w:r>
              <w:rPr>
                <w:sz w:val="19"/>
              </w:rPr>
              <w:t>Section 5, then the check question into the shared doc</w:t>
            </w:r>
          </w:p>
        </w:tc>
      </w:tr>
      <w:tr>
        <w:tc>
          <w:tcPr>
            <w:tcW w:type="dxa" w:w="3216"/>
            <w:shd w:val="clear" w:fill="EEF3FA"/>
          </w:tcPr>
          <w:p>
            <w:pPr>
              <w:spacing w:after="40"/>
            </w:pPr>
            <w:r>
              <w:rPr>
                <w:sz w:val="19"/>
              </w:rPr>
            </w:r>
            <w:r>
              <w:rPr>
                <w:sz w:val="19"/>
              </w:rPr>
              <w:t>24–44</w:t>
            </w:r>
          </w:p>
        </w:tc>
        <w:tc>
          <w:tcPr>
            <w:tcW w:type="dxa" w:w="3216"/>
            <w:shd w:val="clear" w:fill="EEF3FA"/>
          </w:tcPr>
          <w:p>
            <w:pPr>
              <w:spacing w:after="40"/>
            </w:pPr>
            <w:r>
              <w:rPr>
                <w:sz w:val="19"/>
              </w:rPr>
            </w:r>
            <w:r>
              <w:rPr>
                <w:b/>
                <w:sz w:val="19"/>
              </w:rPr>
              <w:t>Input A — capability, not headcount</w:t>
            </w:r>
          </w:p>
        </w:tc>
        <w:tc>
          <w:tcPr>
            <w:tcW w:type="dxa" w:w="3216"/>
            <w:shd w:val="clear" w:fill="EEF3FA"/>
          </w:tcPr>
          <w:p>
            <w:pPr>
              <w:spacing w:after="40"/>
            </w:pPr>
            <w:r>
              <w:rPr>
                <w:sz w:val="19"/>
              </w:rPr>
            </w:r>
            <w:r>
              <w:rPr>
                <w:sz w:val="19"/>
              </w:rPr>
              <w:t xml:space="preserve">Workforce segmentation (critical / core / supporting / outsourceable); why FinTech's scarce resource is a </w:t>
            </w:r>
            <w:r>
              <w:rPr>
                <w:i/>
                <w:sz w:val="19"/>
              </w:rPr>
              <w:t>combination</w:t>
            </w:r>
            <w:r>
              <w:rPr>
                <w:sz w:val="19"/>
              </w:rPr>
              <w:t xml:space="preserve"> of skills; the eight HKMA-licensed virtual banks as the concrete employer set; ECF and SFC fit-and-proper as hard constraints on who can fill which seat</w:t>
            </w:r>
          </w:p>
        </w:tc>
      </w:tr>
      <w:tr>
        <w:tc>
          <w:tcPr>
            <w:tcW w:type="dxa" w:w="3216"/>
          </w:tcPr>
          <w:p>
            <w:pPr>
              <w:spacing w:after="40"/>
            </w:pPr>
            <w:r>
              <w:rPr>
                <w:sz w:val="19"/>
              </w:rPr>
            </w:r>
            <w:r>
              <w:rPr>
                <w:sz w:val="19"/>
              </w:rPr>
              <w:t>44–54</w:t>
            </w:r>
          </w:p>
        </w:tc>
        <w:tc>
          <w:tcPr>
            <w:tcW w:type="dxa" w:w="3216"/>
          </w:tcPr>
          <w:p>
            <w:pPr>
              <w:spacing w:after="40"/>
            </w:pPr>
            <w:r>
              <w:rPr>
                <w:sz w:val="19"/>
              </w:rPr>
            </w:r>
            <w:r>
              <w:rPr>
                <w:b/>
                <w:sz w:val="19"/>
              </w:rPr>
              <w:t>Break</w:t>
            </w:r>
          </w:p>
        </w:tc>
        <w:tc>
          <w:tcPr>
            <w:tcW w:type="dxa" w:w="3216"/>
          </w:tcPr>
          <w:p>
            <w:pPr>
              <w:spacing w:after="40"/>
            </w:pPr>
            <w:r>
              <w:rPr>
                <w:sz w:val="19"/>
              </w:rPr>
            </w:r>
            <w:r>
              <w:rPr>
                <w:sz w:val="19"/>
              </w:rPr>
              <w:t>Return time on screen as a clock time</w:t>
            </w:r>
          </w:p>
        </w:tc>
      </w:tr>
      <w:tr>
        <w:tc>
          <w:tcPr>
            <w:tcW w:type="dxa" w:w="3216"/>
            <w:shd w:val="clear" w:fill="EEF3FA"/>
          </w:tcPr>
          <w:p>
            <w:pPr>
              <w:spacing w:after="40"/>
            </w:pPr>
            <w:r>
              <w:rPr>
                <w:sz w:val="19"/>
              </w:rPr>
            </w:r>
            <w:r>
              <w:rPr>
                <w:sz w:val="19"/>
              </w:rPr>
              <w:t>54–72</w:t>
            </w:r>
          </w:p>
        </w:tc>
        <w:tc>
          <w:tcPr>
            <w:tcW w:type="dxa" w:w="3216"/>
            <w:shd w:val="clear" w:fill="EEF3FA"/>
          </w:tcPr>
          <w:p>
            <w:pPr>
              <w:spacing w:after="40"/>
            </w:pPr>
            <w:r>
              <w:rPr>
                <w:sz w:val="19"/>
              </w:rPr>
            </w:r>
            <w:r>
              <w:rPr>
                <w:b/>
                <w:sz w:val="19"/>
              </w:rPr>
              <w:t>Input B — the Hong Kong cost of flexibility</w:t>
            </w:r>
          </w:p>
        </w:tc>
        <w:tc>
          <w:tcPr>
            <w:tcW w:type="dxa" w:w="3216"/>
            <w:shd w:val="clear" w:fill="EEF3FA"/>
          </w:tcPr>
          <w:p>
            <w:pPr>
              <w:spacing w:after="40"/>
            </w:pPr>
            <w:r>
              <w:rPr>
                <w:sz w:val="19"/>
              </w:rPr>
            </w:r>
            <w:r>
              <w:rPr>
                <w:sz w:val="19"/>
              </w:rPr>
              <w:t xml:space="preserve">Employment Ordinance basics: continuous contract, notice, lawful termination without stated cause. Then </w:t>
            </w:r>
            <w:r>
              <w:rPr>
                <w:b/>
                <w:sz w:val="19"/>
              </w:rPr>
              <w:t>MPF offsetting abolition from 1 May 2025</w:t>
            </w:r>
            <w:r>
              <w:rPr>
                <w:sz w:val="19"/>
              </w:rPr>
              <w:t xml:space="preserve"> and what it did to the cost of shrinking. Then the forecast: opening headcount − attrition + internal mobility + hires, against demand, with time-to-fill as a hard constraint. Build / buy / borrow / bot on </w:t>
            </w:r>
            <w:r>
              <w:rPr>
                <w:b/>
                <w:sz w:val="19"/>
              </w:rPr>
              <w:t>cost and lead time together</w:t>
            </w:r>
            <w:r>
              <w:rPr>
                <w:sz w:val="19"/>
              </w:rPr>
              <w:t>.</w:t>
            </w:r>
          </w:p>
        </w:tc>
      </w:tr>
      <w:tr>
        <w:tc>
          <w:tcPr>
            <w:tcW w:type="dxa" w:w="3216"/>
          </w:tcPr>
          <w:p>
            <w:pPr>
              <w:spacing w:after="40"/>
            </w:pPr>
            <w:r>
              <w:rPr>
                <w:sz w:val="19"/>
              </w:rPr>
            </w:r>
            <w:r>
              <w:rPr>
                <w:sz w:val="19"/>
              </w:rPr>
              <w:t>72–78</w:t>
            </w:r>
          </w:p>
        </w:tc>
        <w:tc>
          <w:tcPr>
            <w:tcW w:type="dxa" w:w="3216"/>
          </w:tcPr>
          <w:p>
            <w:pPr>
              <w:spacing w:after="40"/>
            </w:pPr>
            <w:r>
              <w:rPr>
                <w:sz w:val="19"/>
              </w:rPr>
            </w:r>
            <w:r>
              <w:rPr>
                <w:b/>
                <w:sz w:val="19"/>
              </w:rPr>
              <w:t>Contrast</w:t>
            </w:r>
          </w:p>
        </w:tc>
        <w:tc>
          <w:tcPr>
            <w:tcW w:type="dxa" w:w="3216"/>
          </w:tcPr>
          <w:p>
            <w:pPr>
              <w:spacing w:after="40"/>
            </w:pPr>
            <w:r>
              <w:rPr>
                <w:sz w:val="19"/>
              </w:rPr>
            </w:r>
            <w:r>
              <w:rPr>
                <w:sz w:val="19"/>
              </w:rPr>
              <w:t>Section 3.4, question 1 — five minutes, into the shared doc</w:t>
            </w:r>
          </w:p>
        </w:tc>
      </w:tr>
      <w:tr>
        <w:tc>
          <w:tcPr>
            <w:tcW w:type="dxa" w:w="3216"/>
            <w:shd w:val="clear" w:fill="EEF3FA"/>
          </w:tcPr>
          <w:p>
            <w:pPr>
              <w:spacing w:after="40"/>
            </w:pPr>
            <w:r>
              <w:rPr>
                <w:sz w:val="19"/>
              </w:rPr>
            </w:r>
            <w:r>
              <w:rPr>
                <w:sz w:val="19"/>
              </w:rPr>
              <w:t>78–103</w:t>
            </w:r>
          </w:p>
        </w:tc>
        <w:tc>
          <w:tcPr>
            <w:tcW w:type="dxa" w:w="3216"/>
            <w:shd w:val="clear" w:fill="EEF3FA"/>
          </w:tcPr>
          <w:p>
            <w:pPr>
              <w:spacing w:after="40"/>
            </w:pPr>
            <w:r>
              <w:rPr>
                <w:sz w:val="19"/>
              </w:rPr>
            </w:r>
            <w:r>
              <w:rPr>
                <w:b/>
                <w:sz w:val="19"/>
              </w:rPr>
              <w:t>Activity — Scale to 500</w:t>
            </w:r>
          </w:p>
        </w:tc>
        <w:tc>
          <w:tcPr>
            <w:tcW w:type="dxa" w:w="3216"/>
            <w:shd w:val="clear" w:fill="EEF3FA"/>
          </w:tcPr>
          <w:p>
            <w:pPr>
              <w:spacing w:after="40"/>
            </w:pPr>
            <w:r>
              <w:rPr>
                <w:sz w:val="19"/>
              </w:rPr>
            </w:r>
            <w:r>
              <w:rPr>
                <w:sz w:val="19"/>
              </w:rPr>
              <w:t>Three groups, shared spreadsheet</w:t>
            </w:r>
          </w:p>
        </w:tc>
      </w:tr>
      <w:tr>
        <w:tc>
          <w:tcPr>
            <w:tcW w:type="dxa" w:w="3216"/>
          </w:tcPr>
          <w:p>
            <w:pPr>
              <w:spacing w:after="40"/>
            </w:pPr>
            <w:r>
              <w:rPr>
                <w:sz w:val="19"/>
              </w:rPr>
            </w:r>
            <w:r>
              <w:rPr>
                <w:sz w:val="19"/>
              </w:rPr>
              <w:t>103–116</w:t>
            </w:r>
          </w:p>
        </w:tc>
        <w:tc>
          <w:tcPr>
            <w:tcW w:type="dxa" w:w="3216"/>
          </w:tcPr>
          <w:p>
            <w:pPr>
              <w:spacing w:after="40"/>
            </w:pPr>
            <w:r>
              <w:rPr>
                <w:sz w:val="19"/>
              </w:rPr>
            </w:r>
            <w:r>
              <w:rPr>
                <w:b/>
                <w:sz w:val="19"/>
              </w:rPr>
              <w:t>All three groups present</w:t>
            </w:r>
          </w:p>
        </w:tc>
        <w:tc>
          <w:tcPr>
            <w:tcW w:type="dxa" w:w="3216"/>
          </w:tcPr>
          <w:p>
            <w:pPr>
              <w:spacing w:after="40"/>
            </w:pPr>
            <w:r>
              <w:rPr>
                <w:sz w:val="19"/>
              </w:rPr>
            </w:r>
            <w:r>
              <w:rPr>
                <w:sz w:val="19"/>
              </w:rPr>
              <w:t>3 min each, room stress-tests one assumption per group</w:t>
            </w:r>
          </w:p>
        </w:tc>
      </w:tr>
      <w:tr>
        <w:tc>
          <w:tcPr>
            <w:tcW w:type="dxa" w:w="3216"/>
            <w:shd w:val="clear" w:fill="EEF3FA"/>
          </w:tcPr>
          <w:p>
            <w:pPr>
              <w:spacing w:after="40"/>
            </w:pPr>
            <w:r>
              <w:rPr>
                <w:sz w:val="19"/>
              </w:rPr>
            </w:r>
            <w:r>
              <w:rPr>
                <w:sz w:val="19"/>
              </w:rPr>
              <w:t>116–120</w:t>
            </w:r>
          </w:p>
        </w:tc>
        <w:tc>
          <w:tcPr>
            <w:tcW w:type="dxa" w:w="3216"/>
            <w:shd w:val="clear" w:fill="EEF3FA"/>
          </w:tcPr>
          <w:p>
            <w:pPr>
              <w:spacing w:after="40"/>
            </w:pPr>
            <w:r>
              <w:rPr>
                <w:sz w:val="19"/>
              </w:rPr>
            </w:r>
            <w:r>
              <w:rPr>
                <w:b/>
                <w:sz w:val="19"/>
              </w:rPr>
              <w:t>Close</w:t>
            </w:r>
          </w:p>
        </w:tc>
        <w:tc>
          <w:tcPr>
            <w:tcW w:type="dxa" w:w="3216"/>
            <w:shd w:val="clear" w:fill="EEF3FA"/>
          </w:tcPr>
          <w:p>
            <w:pPr>
              <w:spacing w:after="40"/>
            </w:pPr>
            <w:r>
              <w:rPr>
                <w:sz w:val="19"/>
              </w:rPr>
            </w:r>
            <w:r>
              <w:rPr>
                <w:i/>
                <w:sz w:val="19"/>
              </w:rPr>
              <w:t>"Your plan says 60 hires. Next Sunday, we find them — legally."</w:t>
            </w:r>
          </w:p>
        </w:tc>
      </w:tr>
    </w:tbl>
    <w:p>
      <w:pPr>
        <w:spacing w:after="80"/>
      </w:pPr>
    </w:p>
    <w:p>
      <w:pPr>
        <w:pStyle w:val="Heading3"/>
      </w:pPr>
      <w:r>
        <w:t>The activity — "Scale Kestrel Pay to 500"</w:t>
      </w:r>
    </w:p>
    <w:p>
      <w:r>
        <w:rPr>
          <w:b/>
        </w:rPr>
        <w:t>Setup:</w:t>
      </w:r>
      <w:r>
        <w:t xml:space="preserve"> 3 groups · 25 min · screens on</w:t>
      </w:r>
    </w:p>
    <w:p>
      <w:r>
        <w:t xml:space="preserve">Give each group a tab in a </w:t>
      </w:r>
      <w:r>
        <w:rPr>
          <w:b/>
        </w:rPr>
        <w:t>pre-built shared spreadsheet</w:t>
      </w:r>
      <w:r>
        <w:t>: role families, current headcount, an 18-month roadmap, and assumption cells (attrition %, time-to-fill by role, internal mobility %) already wired to the arithmetic. They change assumptions, not formulas — the learning is in the argument, not the maths.</w:t>
      </w:r>
    </w:p>
    <w:p>
      <w:r>
        <w:rPr>
          <w:b/>
        </w:rPr>
        <w:t>Add a Hong Kong constraint they must handle:</w:t>
      </w:r>
      <w:r>
        <w:t xml:space="preserve"> two of the role families are regulated positions with competence requirements, so "hire fast from anywhere" is not available. And the downside scenario must cost severance and long service payment </w:t>
      </w:r>
      <w:r>
        <w:rPr>
          <w:b/>
        </w:rPr>
        <w:t>on the post-May-2025 basis</w:t>
      </w:r>
      <w:r>
        <w:t>.</w:t>
      </w:r>
    </w:p>
    <w:p>
      <w:r>
        <w:rPr>
          <w:b/>
        </w:rPr>
        <w:t>Each group delivers:</w:t>
      </w:r>
      <w:r>
        <w:t xml:space="preserve"> demand by role family → net of attrition → the two biggest capability gaps → build/buy/borrow/bot with cost </w:t>
      </w:r>
      <w:r>
        <w:rPr>
          <w:i/>
        </w:rPr>
        <w:t>and</w:t>
      </w:r>
      <w:r>
        <w:t xml:space="preserve"> lead time → </w:t>
      </w:r>
      <w:r>
        <w:rPr>
          <w:b/>
        </w:rPr>
        <w:t>the one assumption that breaks the plan if wrong</w:t>
      </w:r>
      <w:r>
        <w:t>.</w:t>
      </w:r>
    </w:p>
    <w:p>
      <w:r>
        <w:rPr>
          <w:b/>
        </w:rPr>
        <w:t>Why the shared spreadsheet suits a lab:</w:t>
      </w:r>
      <w:r>
        <w:t xml:space="preserve"> you can watch all three groups' numbers move on your own screen while you walk the rows, then project all three side by side for the debrief.</w:t>
      </w:r>
    </w:p>
    <w:p>
      <w:r>
        <w:rPr>
          <w:b/>
        </w:rPr>
        <w:t>AT4 hook</w:t>
      </w:r>
      <w:r>
        <w:t xml:space="preserve"> </w:t>
      </w:r>
      <w:r>
        <w:rPr>
          <w:i/>
        </w:rPr>
        <w:t>(confirm with Dr Lee)</w:t>
      </w:r>
      <w:r>
        <w:t>: a ready-made project component on strategic resourcing.</w:t>
      </w:r>
    </w:p>
    <w:p>
      <w:pPr>
        <w:pStyle w:val="Heading3"/>
      </w:pPr>
      <w:r>
        <w:t>What to prepare</w:t>
      </w:r>
    </w:p>
    <w:p>
      <w:r>
        <w:t>Shared four-session document (ladder at top, glossary section) · shared spreadsheet, three tabs · Kestrel Pay one-pager, reused all four Sundays · your 60-second intro · name cards</w:t>
      </w:r>
    </w:p>
    <w:p>
      <w:r>
        <w:br w:type="page"/>
      </w:r>
    </w:p>
    <w:p>
      <w:pPr>
        <w:pStyle w:val="Heading2"/>
      </w:pPr>
      <w:r>
        <w:t>7. Sunday 2 — Recruitment in Hong Kong</w:t>
      </w:r>
    </w:p>
    <w:p>
      <w:r>
        <w:rPr>
          <w:b/>
        </w:rPr>
        <w:t>"How do we choose, how do we know we chose well, and what are we allowed to ask?"</w:t>
      </w:r>
    </w:p>
    <w:p>
      <w:pPr>
        <w:pStyle w:val="Heading3"/>
      </w:pPr>
      <w:r>
        <w:t>The one big idea</w:t>
      </w:r>
    </w:p>
    <w:p>
      <w:pPr>
        <w:pStyle w:val="IntenseQuote"/>
      </w:pPr>
      <w:r>
        <w:rPr>
          <w:b/>
        </w:rPr>
        <w:t>The funnel shows where you're losing people. Validity shows whether your choices are any good. And in Hong Kong, what's legal and what's right come apart in a way that's worth an hour of your attention.</w:t>
      </w:r>
    </w:p>
    <w:p>
      <w:pPr>
        <w:pStyle w:val="Heading3"/>
      </w:pPr>
      <w:r>
        <w:t>Run sheet (120 min)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Time</w:t>
            </w:r>
          </w:p>
        </w:tc>
        <w:tc>
          <w:tcPr>
            <w:tcW w:type="dxa" w:w="3216"/>
            <w:shd w:val="clear" w:fill="2E5496"/>
          </w:tcPr>
          <w:p>
            <w:pPr>
              <w:spacing w:after="40"/>
            </w:pPr>
            <w:r>
              <w:rPr>
                <w:b/>
                <w:color w:val="FFFFFF"/>
                <w:sz w:val="20"/>
              </w:rPr>
            </w:r>
            <w:r>
              <w:rPr>
                <w:b/>
                <w:color w:val="FFFFFF"/>
                <w:sz w:val="20"/>
              </w:rPr>
              <w:t>Block</w:t>
            </w:r>
          </w:p>
        </w:tc>
        <w:tc>
          <w:tcPr>
            <w:tcW w:type="dxa" w:w="3216"/>
            <w:shd w:val="clear" w:fill="2E5496"/>
          </w:tcPr>
          <w:p>
            <w:pPr>
              <w:spacing w:after="40"/>
            </w:pPr>
            <w:r>
              <w:rPr>
                <w:b/>
                <w:color w:val="FFFFFF"/>
                <w:sz w:val="20"/>
              </w:rPr>
            </w:r>
            <w:r>
              <w:rPr>
                <w:b/>
                <w:color w:val="FFFFFF"/>
                <w:sz w:val="20"/>
              </w:rPr>
              <w:t>What happens</w:t>
            </w:r>
          </w:p>
        </w:tc>
      </w:tr>
      <w:tr>
        <w:tc>
          <w:tcPr>
            <w:tcW w:type="dxa" w:w="3216"/>
          </w:tcPr>
          <w:p>
            <w:pPr>
              <w:spacing w:after="40"/>
            </w:pPr>
            <w:r>
              <w:rPr>
                <w:sz w:val="19"/>
              </w:rPr>
            </w:r>
            <w:r>
              <w:rPr>
                <w:sz w:val="19"/>
              </w:rPr>
              <w:t>0–8</w:t>
            </w:r>
          </w:p>
        </w:tc>
        <w:tc>
          <w:tcPr>
            <w:tcW w:type="dxa" w:w="3216"/>
          </w:tcPr>
          <w:p>
            <w:pPr>
              <w:spacing w:after="40"/>
            </w:pPr>
            <w:r>
              <w:rPr>
                <w:sz w:val="19"/>
              </w:rPr>
            </w:r>
            <w:r>
              <w:rPr>
                <w:b/>
                <w:sz w:val="19"/>
              </w:rPr>
              <w:t>Callback + ladder</w:t>
            </w:r>
          </w:p>
        </w:tc>
        <w:tc>
          <w:tcPr>
            <w:tcW w:type="dxa" w:w="3216"/>
          </w:tcPr>
          <w:p>
            <w:pPr>
              <w:spacing w:after="40"/>
            </w:pPr>
            <w:r>
              <w:rPr>
                <w:sz w:val="19"/>
              </w:rPr>
            </w:r>
            <w:r>
              <w:rPr>
                <w:i/>
                <w:sz w:val="19"/>
              </w:rPr>
              <w:t>"Last Sunday your plans needed 60 hires. Where do they come from, and how do you pick?"</w:t>
            </w:r>
          </w:p>
        </w:tc>
      </w:tr>
      <w:tr>
        <w:tc>
          <w:tcPr>
            <w:tcW w:type="dxa" w:w="3216"/>
            <w:shd w:val="clear" w:fill="EEF3FA"/>
          </w:tcPr>
          <w:p>
            <w:pPr>
              <w:spacing w:after="40"/>
            </w:pPr>
            <w:r>
              <w:rPr>
                <w:sz w:val="19"/>
              </w:rPr>
            </w:r>
            <w:r>
              <w:rPr>
                <w:sz w:val="19"/>
              </w:rPr>
              <w:t>8–28</w:t>
            </w:r>
          </w:p>
        </w:tc>
        <w:tc>
          <w:tcPr>
            <w:tcW w:type="dxa" w:w="3216"/>
            <w:shd w:val="clear" w:fill="EEF3FA"/>
          </w:tcPr>
          <w:p>
            <w:pPr>
              <w:spacing w:after="40"/>
            </w:pPr>
            <w:r>
              <w:rPr>
                <w:sz w:val="19"/>
              </w:rPr>
            </w:r>
            <w:r>
              <w:rPr>
                <w:b/>
                <w:sz w:val="19"/>
              </w:rPr>
              <w:t>Input A — the funnel as a measured system</w:t>
            </w:r>
          </w:p>
        </w:tc>
        <w:tc>
          <w:tcPr>
            <w:tcW w:type="dxa" w:w="3216"/>
            <w:shd w:val="clear" w:fill="EEF3FA"/>
          </w:tcPr>
          <w:p>
            <w:pPr>
              <w:spacing w:after="40"/>
            </w:pPr>
            <w:r>
              <w:rPr>
                <w:sz w:val="19"/>
              </w:rPr>
            </w:r>
            <w:r>
              <w:rPr>
                <w:sz w:val="19"/>
              </w:rPr>
              <w:t xml:space="preserve">Stages; conversion by source and stage; source </w:t>
            </w:r>
            <w:r>
              <w:rPr>
                <w:i/>
                <w:sz w:val="19"/>
              </w:rPr>
              <w:t>yield</w:t>
            </w:r>
            <w:r>
              <w:rPr>
                <w:sz w:val="19"/>
              </w:rPr>
              <w:t xml:space="preserve"> versus source volume; quality-of-hire and time-to-productivity as the only two that matter in the end</w:t>
            </w:r>
          </w:p>
        </w:tc>
      </w:tr>
      <w:tr>
        <w:tc>
          <w:tcPr>
            <w:tcW w:type="dxa" w:w="3216"/>
          </w:tcPr>
          <w:p>
            <w:pPr>
              <w:spacing w:after="40"/>
            </w:pPr>
            <w:r>
              <w:rPr>
                <w:sz w:val="19"/>
              </w:rPr>
            </w:r>
            <w:r>
              <w:rPr>
                <w:sz w:val="19"/>
              </w:rPr>
              <w:t>28–45</w:t>
            </w:r>
          </w:p>
        </w:tc>
        <w:tc>
          <w:tcPr>
            <w:tcW w:type="dxa" w:w="3216"/>
          </w:tcPr>
          <w:p>
            <w:pPr>
              <w:spacing w:after="40"/>
            </w:pPr>
            <w:r>
              <w:rPr>
                <w:sz w:val="19"/>
              </w:rPr>
            </w:r>
            <w:r>
              <w:rPr>
                <w:b/>
                <w:sz w:val="19"/>
              </w:rPr>
              <w:t>Live research — real Hong Kong job ads</w:t>
            </w:r>
          </w:p>
        </w:tc>
        <w:tc>
          <w:tcPr>
            <w:tcW w:type="dxa" w:w="3216"/>
          </w:tcPr>
          <w:p>
            <w:pPr>
              <w:spacing w:after="40"/>
            </w:pPr>
            <w:r>
              <w:rPr>
                <w:sz w:val="19"/>
              </w:rPr>
            </w:r>
            <w:r>
              <w:rPr>
                <w:sz w:val="19"/>
              </w:rPr>
              <w:t>Screens on. Each student finds one real HK FinTech ad (below)</w:t>
            </w:r>
          </w:p>
        </w:tc>
      </w:tr>
      <w:tr>
        <w:tc>
          <w:tcPr>
            <w:tcW w:type="dxa" w:w="3216"/>
            <w:shd w:val="clear" w:fill="EEF3FA"/>
          </w:tcPr>
          <w:p>
            <w:pPr>
              <w:spacing w:after="40"/>
            </w:pPr>
            <w:r>
              <w:rPr>
                <w:sz w:val="19"/>
              </w:rPr>
            </w:r>
            <w:r>
              <w:rPr>
                <w:sz w:val="19"/>
              </w:rPr>
              <w:t>45–55</w:t>
            </w:r>
          </w:p>
        </w:tc>
        <w:tc>
          <w:tcPr>
            <w:tcW w:type="dxa" w:w="3216"/>
            <w:shd w:val="clear" w:fill="EEF3FA"/>
          </w:tcPr>
          <w:p>
            <w:pPr>
              <w:spacing w:after="40"/>
            </w:pPr>
            <w:r>
              <w:rPr>
                <w:sz w:val="19"/>
              </w:rPr>
            </w:r>
            <w:r>
              <w:rPr>
                <w:b/>
                <w:sz w:val="19"/>
              </w:rPr>
              <w:t>Break</w:t>
            </w:r>
          </w:p>
        </w:tc>
        <w:tc>
          <w:tcPr>
            <w:tcW w:type="dxa" w:w="3216"/>
            <w:shd w:val="clear" w:fill="EEF3FA"/>
          </w:tcPr>
          <w:p>
            <w:pPr>
              <w:spacing w:after="40"/>
            </w:pPr>
            <w:r>
              <w:rPr>
                <w:sz w:val="19"/>
              </w:rPr>
            </w:r>
            <w:r>
              <w:rPr>
                <w:sz w:val="19"/>
              </w:rPr>
              <w:t>—</w:t>
            </w:r>
          </w:p>
        </w:tc>
      </w:tr>
      <w:tr>
        <w:tc>
          <w:tcPr>
            <w:tcW w:type="dxa" w:w="3216"/>
          </w:tcPr>
          <w:p>
            <w:pPr>
              <w:spacing w:after="40"/>
            </w:pPr>
            <w:r>
              <w:rPr>
                <w:sz w:val="19"/>
              </w:rPr>
            </w:r>
            <w:r>
              <w:rPr>
                <w:sz w:val="19"/>
              </w:rPr>
              <w:t>55–72</w:t>
            </w:r>
          </w:p>
        </w:tc>
        <w:tc>
          <w:tcPr>
            <w:tcW w:type="dxa" w:w="3216"/>
          </w:tcPr>
          <w:p>
            <w:pPr>
              <w:spacing w:after="40"/>
            </w:pPr>
            <w:r>
              <w:rPr>
                <w:sz w:val="19"/>
              </w:rPr>
            </w:r>
            <w:r>
              <w:rPr>
                <w:b/>
                <w:sz w:val="19"/>
              </w:rPr>
              <w:t>Input B — validity, and the Hong Kong legal picture</w:t>
            </w:r>
          </w:p>
        </w:tc>
        <w:tc>
          <w:tcPr>
            <w:tcW w:type="dxa" w:w="3216"/>
          </w:tcPr>
          <w:p>
            <w:pPr>
              <w:spacing w:after="40"/>
            </w:pPr>
            <w:r>
              <w:rPr>
                <w:sz w:val="19"/>
              </w:rPr>
            </w:r>
            <w:r>
              <w:rPr>
                <w:sz w:val="19"/>
              </w:rPr>
              <w:t xml:space="preserve">Selection method validity — </w:t>
            </w:r>
            <w:r>
              <w:rPr>
                <w:b/>
                <w:sz w:val="19"/>
              </w:rPr>
              <w:t>your HRM home ground, teach it properly</w:t>
            </w:r>
            <w:r>
              <w:rPr>
                <w:sz w:val="19"/>
              </w:rPr>
              <w:t xml:space="preserve">. Then: what is actually protected in Hong Kong (the four EOC ordinances), </w:t>
            </w:r>
            <w:r>
              <w:rPr>
                <w:b/>
                <w:sz w:val="19"/>
              </w:rPr>
              <w:t>what is not (age)</w:t>
            </w:r>
            <w:r>
              <w:rPr>
                <w:sz w:val="19"/>
              </w:rPr>
              <w:t>, and the PCPD HR Code on applicant data.</w:t>
            </w:r>
          </w:p>
        </w:tc>
      </w:tr>
      <w:tr>
        <w:tc>
          <w:tcPr>
            <w:tcW w:type="dxa" w:w="3216"/>
            <w:shd w:val="clear" w:fill="EEF3FA"/>
          </w:tcPr>
          <w:p>
            <w:pPr>
              <w:spacing w:after="40"/>
            </w:pPr>
            <w:r>
              <w:rPr>
                <w:sz w:val="19"/>
              </w:rPr>
            </w:r>
            <w:r>
              <w:rPr>
                <w:sz w:val="19"/>
              </w:rPr>
              <w:t>72–78</w:t>
            </w:r>
          </w:p>
        </w:tc>
        <w:tc>
          <w:tcPr>
            <w:tcW w:type="dxa" w:w="3216"/>
            <w:shd w:val="clear" w:fill="EEF3FA"/>
          </w:tcPr>
          <w:p>
            <w:pPr>
              <w:spacing w:after="40"/>
            </w:pPr>
            <w:r>
              <w:rPr>
                <w:sz w:val="19"/>
              </w:rPr>
            </w:r>
            <w:r>
              <w:rPr>
                <w:b/>
                <w:sz w:val="19"/>
              </w:rPr>
              <w:t>Contrast</w:t>
            </w:r>
          </w:p>
        </w:tc>
        <w:tc>
          <w:tcPr>
            <w:tcW w:type="dxa" w:w="3216"/>
            <w:shd w:val="clear" w:fill="EEF3FA"/>
          </w:tcPr>
          <w:p>
            <w:pPr>
              <w:spacing w:after="40"/>
            </w:pPr>
            <w:r>
              <w:rPr>
                <w:sz w:val="19"/>
              </w:rPr>
            </w:r>
            <w:r>
              <w:rPr>
                <w:sz w:val="19"/>
              </w:rPr>
              <w:t>Section 3.4, question 2 — home-market comparison, five minutes</w:t>
            </w:r>
          </w:p>
        </w:tc>
      </w:tr>
      <w:tr>
        <w:tc>
          <w:tcPr>
            <w:tcW w:type="dxa" w:w="3216"/>
          </w:tcPr>
          <w:p>
            <w:pPr>
              <w:spacing w:after="40"/>
            </w:pPr>
            <w:r>
              <w:rPr>
                <w:sz w:val="19"/>
              </w:rPr>
            </w:r>
            <w:r>
              <w:rPr>
                <w:sz w:val="19"/>
              </w:rPr>
              <w:t>78–100</w:t>
            </w:r>
          </w:p>
        </w:tc>
        <w:tc>
          <w:tcPr>
            <w:tcW w:type="dxa" w:w="3216"/>
          </w:tcPr>
          <w:p>
            <w:pPr>
              <w:spacing w:after="40"/>
            </w:pPr>
            <w:r>
              <w:rPr>
                <w:sz w:val="19"/>
              </w:rPr>
            </w:r>
            <w:r>
              <w:rPr>
                <w:b/>
                <w:sz w:val="19"/>
              </w:rPr>
              <w:t>Activity — the fairness audit</w:t>
            </w:r>
          </w:p>
        </w:tc>
        <w:tc>
          <w:tcPr>
            <w:tcW w:type="dxa" w:w="3216"/>
          </w:tcPr>
          <w:p>
            <w:pPr>
              <w:spacing w:after="40"/>
            </w:pPr>
            <w:r>
              <w:rPr>
                <w:sz w:val="19"/>
              </w:rPr>
            </w:r>
            <w:r>
              <w:rPr>
                <w:sz w:val="19"/>
              </w:rPr>
              <w:t>Three groups, pre-computed funnel data, four-fifths rule</w:t>
            </w:r>
          </w:p>
        </w:tc>
      </w:tr>
      <w:tr>
        <w:tc>
          <w:tcPr>
            <w:tcW w:type="dxa" w:w="3216"/>
            <w:shd w:val="clear" w:fill="EEF3FA"/>
          </w:tcPr>
          <w:p>
            <w:pPr>
              <w:spacing w:after="40"/>
            </w:pPr>
            <w:r>
              <w:rPr>
                <w:sz w:val="19"/>
              </w:rPr>
            </w:r>
            <w:r>
              <w:rPr>
                <w:sz w:val="19"/>
              </w:rPr>
              <w:t>100–116</w:t>
            </w:r>
          </w:p>
        </w:tc>
        <w:tc>
          <w:tcPr>
            <w:tcW w:type="dxa" w:w="3216"/>
            <w:shd w:val="clear" w:fill="EEF3FA"/>
          </w:tcPr>
          <w:p>
            <w:pPr>
              <w:spacing w:after="40"/>
            </w:pPr>
            <w:r>
              <w:rPr>
                <w:sz w:val="19"/>
              </w:rPr>
            </w:r>
            <w:r>
              <w:rPr>
                <w:b/>
                <w:sz w:val="19"/>
              </w:rPr>
              <w:t>Round-table — should the model screen?</w:t>
            </w:r>
          </w:p>
        </w:tc>
        <w:tc>
          <w:tcPr>
            <w:tcW w:type="dxa" w:w="3216"/>
            <w:shd w:val="clear" w:fill="EEF3FA"/>
          </w:tcPr>
          <w:p>
            <w:pPr>
              <w:spacing w:after="40"/>
            </w:pPr>
            <w:r>
              <w:rPr>
                <w:sz w:val="19"/>
              </w:rPr>
            </w:r>
            <w:r>
              <w:rPr>
                <w:sz w:val="19"/>
              </w:rPr>
              <w:t>With 13 people, run this as a genuine whole-class discussion, everyone on record</w:t>
            </w:r>
          </w:p>
        </w:tc>
      </w:tr>
      <w:tr>
        <w:tc>
          <w:tcPr>
            <w:tcW w:type="dxa" w:w="3216"/>
          </w:tcPr>
          <w:p>
            <w:pPr>
              <w:spacing w:after="40"/>
            </w:pPr>
            <w:r>
              <w:rPr>
                <w:sz w:val="19"/>
              </w:rPr>
            </w:r>
            <w:r>
              <w:rPr>
                <w:sz w:val="19"/>
              </w:rPr>
              <w:t>116–120</w:t>
            </w:r>
          </w:p>
        </w:tc>
        <w:tc>
          <w:tcPr>
            <w:tcW w:type="dxa" w:w="3216"/>
          </w:tcPr>
          <w:p>
            <w:pPr>
              <w:spacing w:after="40"/>
            </w:pPr>
            <w:r>
              <w:rPr>
                <w:sz w:val="19"/>
              </w:rPr>
            </w:r>
            <w:r>
              <w:rPr>
                <w:b/>
                <w:sz w:val="19"/>
              </w:rPr>
              <w:t>Close</w:t>
            </w:r>
          </w:p>
        </w:tc>
        <w:tc>
          <w:tcPr>
            <w:tcW w:type="dxa" w:w="3216"/>
          </w:tcPr>
          <w:p>
            <w:pPr>
              <w:spacing w:after="40"/>
            </w:pPr>
            <w:r>
              <w:rPr>
                <w:sz w:val="19"/>
              </w:rPr>
            </w:r>
            <w:r>
              <w:rPr>
                <w:i/>
                <w:sz w:val="19"/>
              </w:rPr>
              <w:t>"You've hired them. Next Sunday: what do you pay them?"</w:t>
            </w:r>
          </w:p>
        </w:tc>
      </w:tr>
    </w:tbl>
    <w:p>
      <w:pPr>
        <w:spacing w:after="80"/>
      </w:pPr>
    </w:p>
    <w:p>
      <w:pPr>
        <w:pStyle w:val="Heading3"/>
      </w:pPr>
      <w:r>
        <w:t>Activity 1 — real Hong Kong job ads (17 min, screens on)</w:t>
      </w:r>
    </w:p>
    <w:p>
      <w:pPr>
        <w:pStyle w:val="IntenseQuote"/>
      </w:pPr>
      <w:r>
        <w:rPr>
          <w:i/>
        </w:rPr>
        <w:t>"Five minutes. Find one real, currently posted Hong Kong FinTech job advertisement — try JobsDB, LinkedIn, the careers pages of the virtual banks, or the Cyberport and Science Park job boards. Then tell us three things: what are they screening on, what are they asking for that would be unlawful in some other market, and what have they left out that actually predicts performance?"</w:t>
      </w:r>
    </w:p>
    <w:p>
      <w:r>
        <w:t>Round the room, 45 seconds each, typed into the shared doc in three columns as you go.</w:t>
      </w:r>
    </w:p>
    <w:p>
      <w:r>
        <w:rPr>
          <w:b/>
        </w:rPr>
        <w:t>Expect this to surface on its own:</w:t>
      </w:r>
      <w:r>
        <w:t xml:space="preserve"> age ranges, "years of experience" as an age proxy, photographs, Chinese language requirements, HKID and right-to-work questions. You will not need to prompt it.</w:t>
      </w:r>
    </w:p>
    <w:p>
      <w:r>
        <w:rPr>
          <w:b/>
        </w:rPr>
        <w:t>Then land the point:</w:t>
      </w:r>
    </w:p>
    <w:p>
      <w:pPr>
        <w:pStyle w:val="IntenseQuote"/>
      </w:pPr>
      <w:r>
        <w:rPr>
          <w:i/>
        </w:rPr>
        <w:t>"Several of you found an age requirement. In your home markets some of those ads would be unlawful. In Hong Kong, age is not a protected characteristic — the EOC enforces sex, disability, family status and race, and age is covered only by a non-binding Labour Department guideline. So here is the question this whole course is really about: if it's legal to screen on age here, is it acceptable to put age in a model? And if your answer is 'no', what is that 'no' based on?"</w:t>
      </w:r>
    </w:p>
    <w:p>
      <w:r>
        <w:t>That is the best five minutes available to you in the entire series, and it only works because it's Hong Kong.</w:t>
      </w:r>
    </w:p>
    <w:p>
      <w:pPr>
        <w:pStyle w:val="Heading3"/>
      </w:pPr>
      <w:r>
        <w:t>Activity 2 — the fairness audit (22 min)</w:t>
      </w:r>
    </w:p>
    <w:p>
      <w:r>
        <w:t xml:space="preserve">Pre-computed funnel handout: applications by source and stage, plus selection rates by a protected-attribute proxy. Groups compute two impact ratios by hand, apply the four-fifths rule, and answer: is there adverse impact, </w:t>
      </w:r>
      <w:r>
        <w:rPr>
          <w:b/>
        </w:rPr>
        <w:t>at which stage</w:t>
      </w:r>
      <w:r>
        <w:t>, and what would you change on Monday?</w:t>
      </w:r>
    </w:p>
    <w:p>
      <w:r>
        <w:rPr>
          <w:b/>
        </w:rPr>
        <w:t>Be honest about the tool's origin:</w:t>
      </w:r>
      <w:r>
        <w:t xml:space="preserve"> the four-fifths rule comes from United States enforcement practice. Hong Kong has no equivalent statutory adverse-impact test. Teach it as an </w:t>
      </w:r>
      <w:r>
        <w:rPr>
          <w:b/>
        </w:rPr>
        <w:t>analytical instrument</w:t>
      </w:r>
      <w:r>
        <w:t xml:space="preserve"> that a responsible employer can use voluntarily — which makes it a governance choice, exactly like the pay gap in Sunday 3. Saying this plainly is more credible than implying it's local law.</w:t>
      </w:r>
    </w:p>
    <w:p>
      <w:r>
        <w:rPr>
          <w:b/>
        </w:rPr>
        <w:t>The three minutes nobody forgets:</w:t>
      </w:r>
      <w:r>
        <w:t xml:space="preserve"> when a group proposes fixing the problem by removing the attribute, show them that university, career gap and location reproduce it.</w:t>
      </w:r>
    </w:p>
    <w:p>
      <w:r>
        <w:rPr>
          <w:b/>
        </w:rPr>
        <w:t>AT4 hook</w:t>
      </w:r>
      <w:r>
        <w:t xml:space="preserve"> </w:t>
      </w:r>
      <w:r>
        <w:rPr>
          <w:i/>
        </w:rPr>
        <w:t>(confirm with Dr Lee)</w:t>
      </w:r>
      <w:r>
        <w:t>: the audit method transfers straight into a project section on recruitment analytics.</w:t>
      </w:r>
    </w:p>
    <w:p>
      <w:pPr>
        <w:pStyle w:val="Heading3"/>
      </w:pPr>
      <w:r>
        <w:t>What to prepare</w:t>
      </w:r>
    </w:p>
    <w:p>
      <w:r>
        <w:t>Pre-computed funnel handout · four-fifths worksheet · the four EOC ordinances on one slide with age visibly absent · the PCPD HR Code reference · shared-doc columns pre-built</w:t>
      </w:r>
    </w:p>
    <w:p>
      <w:r>
        <w:br w:type="page"/>
      </w:r>
    </w:p>
    <w:p>
      <w:pPr>
        <w:pStyle w:val="Heading2"/>
      </w:pPr>
      <w:r>
        <w:t>8. Sunday 3 — Compensation &amp; Benefits in Hong Kong</w:t>
      </w:r>
    </w:p>
    <w:p>
      <w:r>
        <w:rPr>
          <w:b/>
        </w:rPr>
        <w:t>"What is a person worth, what does pay actually buy, and who's watching?"</w:t>
      </w:r>
    </w:p>
    <w:p>
      <w:pPr>
        <w:pStyle w:val="Heading3"/>
      </w:pPr>
      <w:r>
        <w:t>The one big idea</w:t>
      </w:r>
    </w:p>
    <w:p>
      <w:pPr>
        <w:pStyle w:val="IntenseQuote"/>
      </w:pPr>
      <w:r>
        <w:rPr>
          <w:b/>
        </w:rPr>
        <w:t>Pay fixes pay problems. Most retention problems are not pay problems — and the way you find out is by evaluating the intervention.</w:t>
      </w:r>
    </w:p>
    <w:p>
      <w:pPr>
        <w:pStyle w:val="Heading3"/>
      </w:pPr>
      <w:r>
        <w:t>Run sheet (120 min)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Time</w:t>
            </w:r>
          </w:p>
        </w:tc>
        <w:tc>
          <w:tcPr>
            <w:tcW w:type="dxa" w:w="3216"/>
            <w:shd w:val="clear" w:fill="2E5496"/>
          </w:tcPr>
          <w:p>
            <w:pPr>
              <w:spacing w:after="40"/>
            </w:pPr>
            <w:r>
              <w:rPr>
                <w:b/>
                <w:color w:val="FFFFFF"/>
                <w:sz w:val="20"/>
              </w:rPr>
            </w:r>
            <w:r>
              <w:rPr>
                <w:b/>
                <w:color w:val="FFFFFF"/>
                <w:sz w:val="20"/>
              </w:rPr>
              <w:t>Block</w:t>
            </w:r>
          </w:p>
        </w:tc>
        <w:tc>
          <w:tcPr>
            <w:tcW w:type="dxa" w:w="3216"/>
            <w:shd w:val="clear" w:fill="2E5496"/>
          </w:tcPr>
          <w:p>
            <w:pPr>
              <w:spacing w:after="40"/>
            </w:pPr>
            <w:r>
              <w:rPr>
                <w:b/>
                <w:color w:val="FFFFFF"/>
                <w:sz w:val="20"/>
              </w:rPr>
            </w:r>
            <w:r>
              <w:rPr>
                <w:b/>
                <w:color w:val="FFFFFF"/>
                <w:sz w:val="20"/>
              </w:rPr>
              <w:t>What happens</w:t>
            </w:r>
          </w:p>
        </w:tc>
      </w:tr>
      <w:tr>
        <w:tc>
          <w:tcPr>
            <w:tcW w:type="dxa" w:w="3216"/>
          </w:tcPr>
          <w:p>
            <w:pPr>
              <w:spacing w:after="40"/>
            </w:pPr>
            <w:r>
              <w:rPr>
                <w:sz w:val="19"/>
              </w:rPr>
            </w:r>
            <w:r>
              <w:rPr>
                <w:sz w:val="19"/>
              </w:rPr>
              <w:t>0–8</w:t>
            </w:r>
          </w:p>
        </w:tc>
        <w:tc>
          <w:tcPr>
            <w:tcW w:type="dxa" w:w="3216"/>
          </w:tcPr>
          <w:p>
            <w:pPr>
              <w:spacing w:after="40"/>
            </w:pPr>
            <w:r>
              <w:rPr>
                <w:sz w:val="19"/>
              </w:rPr>
            </w:r>
            <w:r>
              <w:rPr>
                <w:b/>
                <w:sz w:val="19"/>
              </w:rPr>
              <w:t>Callback + ladder</w:t>
            </w:r>
          </w:p>
        </w:tc>
        <w:tc>
          <w:tcPr>
            <w:tcW w:type="dxa" w:w="3216"/>
          </w:tcPr>
          <w:p>
            <w:pPr>
              <w:spacing w:after="40"/>
            </w:pPr>
            <w:r>
              <w:rPr>
                <w:sz w:val="19"/>
              </w:rPr>
            </w:r>
            <w:r>
              <w:rPr>
                <w:i/>
                <w:sz w:val="19"/>
              </w:rPr>
              <w:t>"You planned. You hired. Now the offer."</w:t>
            </w:r>
          </w:p>
        </w:tc>
      </w:tr>
      <w:tr>
        <w:tc>
          <w:tcPr>
            <w:tcW w:type="dxa" w:w="3216"/>
            <w:shd w:val="clear" w:fill="EEF3FA"/>
          </w:tcPr>
          <w:p>
            <w:pPr>
              <w:spacing w:after="40"/>
            </w:pPr>
            <w:r>
              <w:rPr>
                <w:sz w:val="19"/>
              </w:rPr>
            </w:r>
            <w:r>
              <w:rPr>
                <w:sz w:val="19"/>
              </w:rPr>
              <w:t>8–30</w:t>
            </w:r>
          </w:p>
        </w:tc>
        <w:tc>
          <w:tcPr>
            <w:tcW w:type="dxa" w:w="3216"/>
            <w:shd w:val="clear" w:fill="EEF3FA"/>
          </w:tcPr>
          <w:p>
            <w:pPr>
              <w:spacing w:after="40"/>
            </w:pPr>
            <w:r>
              <w:rPr>
                <w:sz w:val="19"/>
              </w:rPr>
            </w:r>
            <w:r>
              <w:rPr>
                <w:b/>
                <w:sz w:val="19"/>
              </w:rPr>
              <w:t>Input A — the Hong Kong reward package</w:t>
            </w:r>
          </w:p>
        </w:tc>
        <w:tc>
          <w:tcPr>
            <w:tcW w:type="dxa" w:w="3216"/>
            <w:shd w:val="clear" w:fill="EEF3FA"/>
          </w:tcPr>
          <w:p>
            <w:pPr>
              <w:spacing w:after="40"/>
            </w:pPr>
            <w:r>
              <w:rPr>
                <w:sz w:val="19"/>
              </w:rPr>
            </w:r>
            <w:r>
              <w:rPr>
                <w:sz w:val="19"/>
              </w:rPr>
              <w:t>Total rewards; job architecture, levelling, bands, compa-ratio; MPF and what an employee actually costs here; 13th month as convention not statute; equity in a Cyberport start-up versus a virtual bank owned by a large group — two completely different pay stories</w:t>
            </w:r>
          </w:p>
        </w:tc>
      </w:tr>
      <w:tr>
        <w:tc>
          <w:tcPr>
            <w:tcW w:type="dxa" w:w="3216"/>
          </w:tcPr>
          <w:p>
            <w:pPr>
              <w:spacing w:after="40"/>
            </w:pPr>
            <w:r>
              <w:rPr>
                <w:sz w:val="19"/>
              </w:rPr>
            </w:r>
            <w:r>
              <w:rPr>
                <w:sz w:val="19"/>
              </w:rPr>
              <w:t>30–45</w:t>
            </w:r>
          </w:p>
        </w:tc>
        <w:tc>
          <w:tcPr>
            <w:tcW w:type="dxa" w:w="3216"/>
          </w:tcPr>
          <w:p>
            <w:pPr>
              <w:spacing w:after="40"/>
            </w:pPr>
            <w:r>
              <w:rPr>
                <w:sz w:val="19"/>
              </w:rPr>
            </w:r>
            <w:r>
              <w:rPr>
                <w:b/>
                <w:sz w:val="19"/>
              </w:rPr>
              <w:t>Input B — the regulator in the room</w:t>
            </w:r>
          </w:p>
        </w:tc>
        <w:tc>
          <w:tcPr>
            <w:tcW w:type="dxa" w:w="3216"/>
          </w:tcPr>
          <w:p>
            <w:pPr>
              <w:spacing w:after="40"/>
            </w:pPr>
            <w:r>
              <w:rPr>
                <w:sz w:val="19"/>
              </w:rPr>
            </w:r>
            <w:r>
              <w:rPr>
                <w:b/>
                <w:sz w:val="19"/>
              </w:rPr>
              <w:t>HKMA SPM CG-5, Guideline on a Sound Remuneration System</w:t>
            </w:r>
            <w:r>
              <w:rPr>
                <w:sz w:val="19"/>
              </w:rPr>
              <w:t>: deferral of variable pay, malus and clawback, material risk takers, deferral normally not less than three years for senior executives. Then the question: what does that do to the incentive design you'd otherwise choose?</w:t>
            </w:r>
          </w:p>
        </w:tc>
      </w:tr>
      <w:tr>
        <w:tc>
          <w:tcPr>
            <w:tcW w:type="dxa" w:w="3216"/>
            <w:shd w:val="clear" w:fill="EEF3FA"/>
          </w:tcPr>
          <w:p>
            <w:pPr>
              <w:spacing w:after="40"/>
            </w:pPr>
            <w:r>
              <w:rPr>
                <w:sz w:val="19"/>
              </w:rPr>
            </w:r>
            <w:r>
              <w:rPr>
                <w:sz w:val="19"/>
              </w:rPr>
              <w:t>45–55</w:t>
            </w:r>
          </w:p>
        </w:tc>
        <w:tc>
          <w:tcPr>
            <w:tcW w:type="dxa" w:w="3216"/>
            <w:shd w:val="clear" w:fill="EEF3FA"/>
          </w:tcPr>
          <w:p>
            <w:pPr>
              <w:spacing w:after="40"/>
            </w:pPr>
            <w:r>
              <w:rPr>
                <w:sz w:val="19"/>
              </w:rPr>
            </w:r>
            <w:r>
              <w:rPr>
                <w:b/>
                <w:sz w:val="19"/>
              </w:rPr>
              <w:t>Break</w:t>
            </w:r>
          </w:p>
        </w:tc>
        <w:tc>
          <w:tcPr>
            <w:tcW w:type="dxa" w:w="3216"/>
            <w:shd w:val="clear" w:fill="EEF3FA"/>
          </w:tcPr>
          <w:p>
            <w:pPr>
              <w:spacing w:after="40"/>
            </w:pPr>
            <w:r>
              <w:rPr>
                <w:sz w:val="19"/>
              </w:rPr>
            </w:r>
            <w:r>
              <w:rPr>
                <w:sz w:val="19"/>
              </w:rPr>
              <w:t>—</w:t>
            </w:r>
          </w:p>
        </w:tc>
      </w:tr>
      <w:tr>
        <w:tc>
          <w:tcPr>
            <w:tcW w:type="dxa" w:w="3216"/>
          </w:tcPr>
          <w:p>
            <w:pPr>
              <w:spacing w:after="40"/>
            </w:pPr>
            <w:r>
              <w:rPr>
                <w:sz w:val="19"/>
              </w:rPr>
            </w:r>
            <w:r>
              <w:rPr>
                <w:sz w:val="19"/>
              </w:rPr>
              <w:t>55–72</w:t>
            </w:r>
          </w:p>
        </w:tc>
        <w:tc>
          <w:tcPr>
            <w:tcW w:type="dxa" w:w="3216"/>
          </w:tcPr>
          <w:p>
            <w:pPr>
              <w:spacing w:after="40"/>
            </w:pPr>
            <w:r>
              <w:rPr>
                <w:sz w:val="19"/>
              </w:rPr>
            </w:r>
            <w:r>
              <w:rPr>
                <w:b/>
                <w:sz w:val="19"/>
              </w:rPr>
              <w:t>Input C — pay equity, and the absence of a rule</w:t>
            </w:r>
          </w:p>
        </w:tc>
        <w:tc>
          <w:tcPr>
            <w:tcW w:type="dxa" w:w="3216"/>
          </w:tcPr>
          <w:p>
            <w:pPr>
              <w:spacing w:after="40"/>
            </w:pPr>
            <w:r>
              <w:rPr>
                <w:sz w:val="19"/>
              </w:rPr>
            </w:r>
            <w:r>
              <w:rPr>
                <w:sz w:val="19"/>
              </w:rPr>
              <w:t xml:space="preserve">Compa-ratio distributions; </w:t>
            </w:r>
            <w:r>
              <w:rPr>
                <w:b/>
                <w:sz w:val="19"/>
              </w:rPr>
              <w:t>raw gap versus unexplained gap</w:t>
            </w:r>
            <w:r>
              <w:rPr>
                <w:sz w:val="19"/>
              </w:rPr>
              <w:t xml:space="preserve">; pay compression from buying new hires in above tenured staff. Then: Hong Kong has no gender pay gap reporting requirement. </w:t>
            </w:r>
            <w:r>
              <w:rPr>
                <w:b/>
                <w:sz w:val="19"/>
              </w:rPr>
              <w:t>Nobody makes you look.</w:t>
            </w:r>
            <w:r>
              <w:rPr>
                <w:sz w:val="19"/>
              </w:rPr>
              <w:t xml:space="preserve"> So what does an employer that looks anyway know, that its competitors don't?</w:t>
            </w:r>
          </w:p>
        </w:tc>
      </w:tr>
      <w:tr>
        <w:tc>
          <w:tcPr>
            <w:tcW w:type="dxa" w:w="3216"/>
            <w:shd w:val="clear" w:fill="EEF3FA"/>
          </w:tcPr>
          <w:p>
            <w:pPr>
              <w:spacing w:after="40"/>
            </w:pPr>
            <w:r>
              <w:rPr>
                <w:sz w:val="19"/>
              </w:rPr>
            </w:r>
            <w:r>
              <w:rPr>
                <w:sz w:val="19"/>
              </w:rPr>
              <w:t>72–77</w:t>
            </w:r>
          </w:p>
        </w:tc>
        <w:tc>
          <w:tcPr>
            <w:tcW w:type="dxa" w:w="3216"/>
            <w:shd w:val="clear" w:fill="EEF3FA"/>
          </w:tcPr>
          <w:p>
            <w:pPr>
              <w:spacing w:after="40"/>
            </w:pPr>
            <w:r>
              <w:rPr>
                <w:sz w:val="19"/>
              </w:rPr>
            </w:r>
            <w:r>
              <w:rPr>
                <w:b/>
                <w:sz w:val="19"/>
              </w:rPr>
              <w:t>Contrast</w:t>
            </w:r>
          </w:p>
        </w:tc>
        <w:tc>
          <w:tcPr>
            <w:tcW w:type="dxa" w:w="3216"/>
            <w:shd w:val="clear" w:fill="EEF3FA"/>
          </w:tcPr>
          <w:p>
            <w:pPr>
              <w:spacing w:after="40"/>
            </w:pPr>
            <w:r>
              <w:rPr>
                <w:sz w:val="19"/>
              </w:rPr>
            </w:r>
            <w:r>
              <w:rPr>
                <w:sz w:val="19"/>
              </w:rPr>
              <w:t>Section 3.4, question 3 — pay transparency at home</w:t>
            </w:r>
          </w:p>
        </w:tc>
      </w:tr>
      <w:tr>
        <w:tc>
          <w:tcPr>
            <w:tcW w:type="dxa" w:w="3216"/>
          </w:tcPr>
          <w:p>
            <w:pPr>
              <w:spacing w:after="40"/>
            </w:pPr>
            <w:r>
              <w:rPr>
                <w:sz w:val="19"/>
              </w:rPr>
            </w:r>
            <w:r>
              <w:rPr>
                <w:sz w:val="19"/>
              </w:rPr>
              <w:t>77–103</w:t>
            </w:r>
          </w:p>
        </w:tc>
        <w:tc>
          <w:tcPr>
            <w:tcW w:type="dxa" w:w="3216"/>
          </w:tcPr>
          <w:p>
            <w:pPr>
              <w:spacing w:after="40"/>
            </w:pPr>
            <w:r>
              <w:rPr>
                <w:sz w:val="19"/>
              </w:rPr>
            </w:r>
            <w:r>
              <w:rPr>
                <w:b/>
                <w:sz w:val="19"/>
              </w:rPr>
              <w:t>The case — "Did the HK$3m work?"</w:t>
            </w:r>
          </w:p>
        </w:tc>
        <w:tc>
          <w:tcPr>
            <w:tcW w:type="dxa" w:w="3216"/>
          </w:tcPr>
          <w:p>
            <w:pPr>
              <w:spacing w:after="40"/>
            </w:pPr>
            <w:r>
              <w:rPr>
                <w:sz w:val="19"/>
              </w:rPr>
            </w:r>
            <w:r>
              <w:rPr>
                <w:sz w:val="19"/>
              </w:rPr>
              <w:t>The strongest 26 minutes in the series (below)</w:t>
            </w:r>
          </w:p>
        </w:tc>
      </w:tr>
      <w:tr>
        <w:tc>
          <w:tcPr>
            <w:tcW w:type="dxa" w:w="3216"/>
            <w:shd w:val="clear" w:fill="EEF3FA"/>
          </w:tcPr>
          <w:p>
            <w:pPr>
              <w:spacing w:after="40"/>
            </w:pPr>
            <w:r>
              <w:rPr>
                <w:sz w:val="19"/>
              </w:rPr>
            </w:r>
            <w:r>
              <w:rPr>
                <w:sz w:val="19"/>
              </w:rPr>
              <w:t>103–117</w:t>
            </w:r>
          </w:p>
        </w:tc>
        <w:tc>
          <w:tcPr>
            <w:tcW w:type="dxa" w:w="3216"/>
            <w:shd w:val="clear" w:fill="EEF3FA"/>
          </w:tcPr>
          <w:p>
            <w:pPr>
              <w:spacing w:after="40"/>
            </w:pPr>
            <w:r>
              <w:rPr>
                <w:sz w:val="19"/>
              </w:rPr>
            </w:r>
            <w:r>
              <w:rPr>
                <w:b/>
                <w:sz w:val="19"/>
              </w:rPr>
              <w:t>All three groups pitch</w:t>
            </w:r>
          </w:p>
        </w:tc>
        <w:tc>
          <w:tcPr>
            <w:tcW w:type="dxa" w:w="3216"/>
            <w:shd w:val="clear" w:fill="EEF3FA"/>
          </w:tcPr>
          <w:p>
            <w:pPr>
              <w:spacing w:after="40"/>
            </w:pPr>
            <w:r>
              <w:rPr>
                <w:sz w:val="19"/>
              </w:rPr>
            </w:r>
            <w:r>
              <w:rPr>
                <w:sz w:val="19"/>
              </w:rPr>
              <w:t xml:space="preserve">What they'd have set up </w:t>
            </w:r>
            <w:r>
              <w:rPr>
                <w:i/>
                <w:sz w:val="19"/>
              </w:rPr>
              <w:t>before</w:t>
            </w:r>
            <w:r>
              <w:rPr>
                <w:sz w:val="19"/>
              </w:rPr>
              <w:t xml:space="preserve"> the money was spent</w:t>
            </w:r>
          </w:p>
        </w:tc>
      </w:tr>
      <w:tr>
        <w:tc>
          <w:tcPr>
            <w:tcW w:type="dxa" w:w="3216"/>
          </w:tcPr>
          <w:p>
            <w:pPr>
              <w:spacing w:after="40"/>
            </w:pPr>
            <w:r>
              <w:rPr>
                <w:sz w:val="19"/>
              </w:rPr>
            </w:r>
            <w:r>
              <w:rPr>
                <w:sz w:val="19"/>
              </w:rPr>
              <w:t>117–120</w:t>
            </w:r>
          </w:p>
        </w:tc>
        <w:tc>
          <w:tcPr>
            <w:tcW w:type="dxa" w:w="3216"/>
          </w:tcPr>
          <w:p>
            <w:pPr>
              <w:spacing w:after="40"/>
            </w:pPr>
            <w:r>
              <w:rPr>
                <w:sz w:val="19"/>
              </w:rPr>
            </w:r>
            <w:r>
              <w:rPr>
                <w:b/>
                <w:sz w:val="19"/>
              </w:rPr>
              <w:t>Close</w:t>
            </w:r>
          </w:p>
        </w:tc>
        <w:tc>
          <w:tcPr>
            <w:tcW w:type="dxa" w:w="3216"/>
          </w:tcPr>
          <w:p>
            <w:pPr>
              <w:spacing w:after="40"/>
            </w:pPr>
            <w:r>
              <w:rPr>
                <w:sz w:val="19"/>
              </w:rPr>
            </w:r>
            <w:r>
              <w:rPr>
                <w:i/>
                <w:sz w:val="19"/>
              </w:rPr>
              <w:t>"Next Sunday, they leave anyway."</w:t>
            </w:r>
          </w:p>
        </w:tc>
      </w:tr>
    </w:tbl>
    <w:p>
      <w:pPr>
        <w:spacing w:after="80"/>
      </w:pPr>
    </w:p>
    <w:p>
      <w:pPr>
        <w:pStyle w:val="Heading3"/>
      </w:pPr>
      <w:r>
        <w:t>The case — "Did the HK$3m work?"</w:t>
      </w:r>
    </w:p>
    <w:p>
      <w:r>
        <w:rPr>
          <w:b/>
        </w:rPr>
        <w:t>Scenario:</w:t>
      </w:r>
      <w:r>
        <w:t xml:space="preserve"> Kestrel Pay, a Hong Kong payments firm, spends HK$3m on an off-cycle retention adjustment for 60 engineers. Six months later, attrition in that group falls from 21% to 13%. The CFO wants to roll it out company-wide.</w:t>
      </w:r>
    </w:p>
    <w:p>
      <w:r>
        <w:rPr>
          <w:b/>
        </w:rPr>
        <w:t>The question:</w:t>
      </w:r>
      <w:r>
        <w:t xml:space="preserve"> did it work?</w:t>
      </w:r>
    </w:p>
    <w:p>
      <w:r>
        <w:rPr>
          <w:b/>
        </w:rPr>
        <w:t>Guide them to build the evaluation:</w:t>
      </w:r>
      <w:r>
        <w:t xml:space="preserve"> an untreated comparison group · the pre-period trend, because it may already have been falling · difference-in-differences reasoning · then the threats — </w:t>
      </w:r>
      <w:r>
        <w:rPr>
          <w:b/>
        </w:rPr>
        <w:t>who was selected for the treatment and why</w:t>
      </w:r>
      <w:r>
        <w:t>, regression to the mean, a sector-wide hiring freeze in the same window, Hawthorne effects, and the counterfactual nobody measured.</w:t>
      </w:r>
    </w:p>
    <w:p>
      <w:r>
        <w:rPr>
          <w:b/>
        </w:rPr>
        <w:t>Each group states one design that would have given a defensible answer if it had been set up before the money was spent.</w:t>
      </w:r>
    </w:p>
    <w:p>
      <w:r>
        <w:rPr>
          <w:b/>
        </w:rPr>
        <w:t>Screens off for this one.</w:t>
      </w:r>
      <w:r>
        <w:t xml:space="preserve"> It is a reasoning exercise, it needs no data, and the screens will only distract. It is also the moment they realise the hard part of analytics is causal reasoning, not modelling.</w:t>
      </w:r>
    </w:p>
    <w:p>
      <w:r>
        <w:rPr>
          <w:b/>
        </w:rPr>
        <w:t>AT4 hook</w:t>
      </w:r>
      <w:r>
        <w:t xml:space="preserve"> </w:t>
      </w:r>
      <w:r>
        <w:rPr>
          <w:i/>
        </w:rPr>
        <w:t>(confirm with Dr Lee)</w:t>
      </w:r>
      <w:r>
        <w:t>: "how would you know whether it worked" is the section most groups get wrong.</w:t>
      </w:r>
    </w:p>
    <w:p>
      <w:pPr>
        <w:pStyle w:val="Heading3"/>
      </w:pPr>
      <w:r>
        <w:t>What to prepare</w:t>
      </w:r>
    </w:p>
    <w:p>
      <w:r>
        <w:t>Compa-ratio worksheet · the HK$3m scenario on one page · a CG-5 summary slide (deferral / malus / clawback) · a raw-gap-versus-unexplained-gap worked example</w:t>
      </w:r>
    </w:p>
    <w:p>
      <w:r>
        <w:br w:type="page"/>
      </w:r>
    </w:p>
    <w:p>
      <w:pPr>
        <w:pStyle w:val="Heading2"/>
      </w:pPr>
      <w:r>
        <w:t>9. Sunday 4 — Predicting Turnover in Hong Kong</w:t>
      </w:r>
    </w:p>
    <w:p>
      <w:r>
        <w:rPr>
          <w:b/>
        </w:rPr>
        <w:t>"Who's leaving, what do we do the day we know, and who is allowed to know it?"</w:t>
      </w:r>
    </w:p>
    <w:p>
      <w:pPr>
        <w:pStyle w:val="Heading3"/>
      </w:pPr>
      <w:r>
        <w:t>The one big idea</w:t>
      </w:r>
    </w:p>
    <w:p>
      <w:pPr>
        <w:pStyle w:val="IntenseQuote"/>
      </w:pPr>
      <w:r>
        <w:rPr>
          <w:b/>
        </w:rPr>
        <w:t>A model tells you who might leave. It doesn't tell you what to do, who's allowed to know, or whether you should have looked. In Hong Kong, the last question has a legal answer.</w:t>
      </w:r>
    </w:p>
    <w:p>
      <w:pPr>
        <w:pStyle w:val="Heading3"/>
      </w:pPr>
      <w:r>
        <w:t>Run sheet (120 min)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Time</w:t>
            </w:r>
          </w:p>
        </w:tc>
        <w:tc>
          <w:tcPr>
            <w:tcW w:type="dxa" w:w="3216"/>
            <w:shd w:val="clear" w:fill="2E5496"/>
          </w:tcPr>
          <w:p>
            <w:pPr>
              <w:spacing w:after="40"/>
            </w:pPr>
            <w:r>
              <w:rPr>
                <w:b/>
                <w:color w:val="FFFFFF"/>
                <w:sz w:val="20"/>
              </w:rPr>
            </w:r>
            <w:r>
              <w:rPr>
                <w:b/>
                <w:color w:val="FFFFFF"/>
                <w:sz w:val="20"/>
              </w:rPr>
              <w:t>Block</w:t>
            </w:r>
          </w:p>
        </w:tc>
        <w:tc>
          <w:tcPr>
            <w:tcW w:type="dxa" w:w="3216"/>
            <w:shd w:val="clear" w:fill="2E5496"/>
          </w:tcPr>
          <w:p>
            <w:pPr>
              <w:spacing w:after="40"/>
            </w:pPr>
            <w:r>
              <w:rPr>
                <w:b/>
                <w:color w:val="FFFFFF"/>
                <w:sz w:val="20"/>
              </w:rPr>
            </w:r>
            <w:r>
              <w:rPr>
                <w:b/>
                <w:color w:val="FFFFFF"/>
                <w:sz w:val="20"/>
              </w:rPr>
              <w:t>What happens</w:t>
            </w:r>
          </w:p>
        </w:tc>
      </w:tr>
      <w:tr>
        <w:tc>
          <w:tcPr>
            <w:tcW w:type="dxa" w:w="3216"/>
          </w:tcPr>
          <w:p>
            <w:pPr>
              <w:spacing w:after="40"/>
            </w:pPr>
            <w:r>
              <w:rPr>
                <w:sz w:val="19"/>
              </w:rPr>
            </w:r>
            <w:r>
              <w:rPr>
                <w:sz w:val="19"/>
              </w:rPr>
              <w:t>0–10</w:t>
            </w:r>
          </w:p>
        </w:tc>
        <w:tc>
          <w:tcPr>
            <w:tcW w:type="dxa" w:w="3216"/>
          </w:tcPr>
          <w:p>
            <w:pPr>
              <w:spacing w:after="40"/>
            </w:pPr>
            <w:r>
              <w:rPr>
                <w:sz w:val="19"/>
              </w:rPr>
            </w:r>
            <w:r>
              <w:rPr>
                <w:b/>
                <w:sz w:val="19"/>
              </w:rPr>
              <w:t>The callback that closes the arc</w:t>
            </w:r>
          </w:p>
        </w:tc>
        <w:tc>
          <w:tcPr>
            <w:tcW w:type="dxa" w:w="3216"/>
          </w:tcPr>
          <w:p>
            <w:pPr>
              <w:spacing w:after="40"/>
            </w:pPr>
            <w:r>
              <w:rPr>
                <w:sz w:val="19"/>
              </w:rPr>
            </w:r>
            <w:r>
              <w:rPr>
                <w:sz w:val="19"/>
              </w:rPr>
              <w:t xml:space="preserve">Put Sunday 1's spreadsheet back on the projector. </w:t>
            </w:r>
            <w:r>
              <w:rPr>
                <w:i/>
                <w:sz w:val="19"/>
              </w:rPr>
              <w:t>"Three weeks ago you planned 60 hires on a 22% attrition assumption. It's 26%. Watch."</w:t>
            </w:r>
            <w:r>
              <w:rPr>
                <w:sz w:val="19"/>
              </w:rPr>
              <w:t xml:space="preserve"> </w:t>
            </w:r>
            <w:r>
              <w:rPr>
                <w:b/>
                <w:sz w:val="19"/>
              </w:rPr>
              <w:t>Re-run one group's tab live with the higher number.</w:t>
            </w:r>
          </w:p>
        </w:tc>
      </w:tr>
      <w:tr>
        <w:tc>
          <w:tcPr>
            <w:tcW w:type="dxa" w:w="3216"/>
            <w:shd w:val="clear" w:fill="EEF3FA"/>
          </w:tcPr>
          <w:p>
            <w:pPr>
              <w:spacing w:after="40"/>
            </w:pPr>
            <w:r>
              <w:rPr>
                <w:sz w:val="19"/>
              </w:rPr>
            </w:r>
            <w:r>
              <w:rPr>
                <w:sz w:val="19"/>
              </w:rPr>
              <w:t>10–35</w:t>
            </w:r>
          </w:p>
        </w:tc>
        <w:tc>
          <w:tcPr>
            <w:tcW w:type="dxa" w:w="3216"/>
            <w:shd w:val="clear" w:fill="EEF3FA"/>
          </w:tcPr>
          <w:p>
            <w:pPr>
              <w:spacing w:after="40"/>
            </w:pPr>
            <w:r>
              <w:rPr>
                <w:sz w:val="19"/>
              </w:rPr>
            </w:r>
            <w:r>
              <w:rPr>
                <w:b/>
                <w:sz w:val="19"/>
              </w:rPr>
              <w:t>Input A — turnover as a Hong Kong HR problem</w:t>
            </w:r>
          </w:p>
        </w:tc>
        <w:tc>
          <w:tcPr>
            <w:tcW w:type="dxa" w:w="3216"/>
            <w:shd w:val="clear" w:fill="EEF3FA"/>
          </w:tcPr>
          <w:p>
            <w:pPr>
              <w:spacing w:after="40"/>
            </w:pPr>
            <w:r>
              <w:rPr>
                <w:sz w:val="19"/>
              </w:rPr>
            </w:r>
            <w:r>
              <w:rPr>
                <w:sz w:val="19"/>
              </w:rPr>
              <w:t xml:space="preserve">Taxonomy: voluntary/involuntary, functional/dysfunctional, </w:t>
            </w:r>
            <w:r>
              <w:rPr>
                <w:b/>
                <w:sz w:val="19"/>
              </w:rPr>
              <w:t>regretted and avoidable</w:t>
            </w:r>
            <w:r>
              <w:rPr>
                <w:sz w:val="19"/>
              </w:rPr>
              <w:t xml:space="preserve"> — the only quadrant worth managing. The full cost stack, including severance and long service payment on the post-May-2025 basis. Then the HK-specific drivers: one month's notice makes everything move faster; the post-bonus first-quarter spike; small teams where one exit removes a capability; and </w:t>
            </w:r>
            <w:r>
              <w:rPr>
                <w:b/>
                <w:sz w:val="19"/>
              </w:rPr>
              <w:t>visa-linked employment</w:t>
            </w:r>
            <w:r>
              <w:rPr>
                <w:sz w:val="19"/>
              </w:rPr>
              <w:t>, where the right to remain is tied to the job</w:t>
            </w:r>
          </w:p>
        </w:tc>
      </w:tr>
      <w:tr>
        <w:tc>
          <w:tcPr>
            <w:tcW w:type="dxa" w:w="3216"/>
          </w:tcPr>
          <w:p>
            <w:pPr>
              <w:spacing w:after="40"/>
            </w:pPr>
            <w:r>
              <w:rPr>
                <w:sz w:val="19"/>
              </w:rPr>
            </w:r>
            <w:r>
              <w:rPr>
                <w:sz w:val="19"/>
              </w:rPr>
              <w:t>35–41</w:t>
            </w:r>
          </w:p>
        </w:tc>
        <w:tc>
          <w:tcPr>
            <w:tcW w:type="dxa" w:w="3216"/>
          </w:tcPr>
          <w:p>
            <w:pPr>
              <w:spacing w:after="40"/>
            </w:pPr>
            <w:r>
              <w:rPr>
                <w:sz w:val="19"/>
              </w:rPr>
            </w:r>
            <w:r>
              <w:rPr>
                <w:b/>
                <w:sz w:val="19"/>
              </w:rPr>
              <w:t>Contrast</w:t>
            </w:r>
          </w:p>
        </w:tc>
        <w:tc>
          <w:tcPr>
            <w:tcW w:type="dxa" w:w="3216"/>
          </w:tcPr>
          <w:p>
            <w:pPr>
              <w:spacing w:after="40"/>
            </w:pPr>
            <w:r>
              <w:rPr>
                <w:sz w:val="19"/>
              </w:rPr>
            </w:r>
            <w:r>
              <w:rPr>
                <w:sz w:val="19"/>
              </w:rPr>
              <w:t>Section 3.4, question 4 — notice periods and job-hopping norms</w:t>
            </w:r>
          </w:p>
        </w:tc>
      </w:tr>
      <w:tr>
        <w:tc>
          <w:tcPr>
            <w:tcW w:type="dxa" w:w="3216"/>
            <w:shd w:val="clear" w:fill="EEF3FA"/>
          </w:tcPr>
          <w:p>
            <w:pPr>
              <w:spacing w:after="40"/>
            </w:pPr>
            <w:r>
              <w:rPr>
                <w:sz w:val="19"/>
              </w:rPr>
            </w:r>
            <w:r>
              <w:rPr>
                <w:sz w:val="19"/>
              </w:rPr>
              <w:t>41–51</w:t>
            </w:r>
          </w:p>
        </w:tc>
        <w:tc>
          <w:tcPr>
            <w:tcW w:type="dxa" w:w="3216"/>
            <w:shd w:val="clear" w:fill="EEF3FA"/>
          </w:tcPr>
          <w:p>
            <w:pPr>
              <w:spacing w:after="40"/>
            </w:pPr>
            <w:r>
              <w:rPr>
                <w:sz w:val="19"/>
              </w:rPr>
            </w:r>
            <w:r>
              <w:rPr>
                <w:b/>
                <w:sz w:val="19"/>
              </w:rPr>
              <w:t>Break</w:t>
            </w:r>
          </w:p>
        </w:tc>
        <w:tc>
          <w:tcPr>
            <w:tcW w:type="dxa" w:w="3216"/>
            <w:shd w:val="clear" w:fill="EEF3FA"/>
          </w:tcPr>
          <w:p>
            <w:pPr>
              <w:spacing w:after="40"/>
            </w:pPr>
            <w:r>
              <w:rPr>
                <w:sz w:val="19"/>
              </w:rPr>
            </w:r>
            <w:r>
              <w:rPr>
                <w:sz w:val="19"/>
              </w:rPr>
              <w:t>—</w:t>
            </w:r>
          </w:p>
        </w:tc>
      </w:tr>
      <w:tr>
        <w:tc>
          <w:tcPr>
            <w:tcW w:type="dxa" w:w="3216"/>
          </w:tcPr>
          <w:p>
            <w:pPr>
              <w:spacing w:after="40"/>
            </w:pPr>
            <w:r>
              <w:rPr>
                <w:sz w:val="19"/>
              </w:rPr>
            </w:r>
            <w:r>
              <w:rPr>
                <w:sz w:val="19"/>
              </w:rPr>
              <w:t>51–68</w:t>
            </w:r>
          </w:p>
        </w:tc>
        <w:tc>
          <w:tcPr>
            <w:tcW w:type="dxa" w:w="3216"/>
          </w:tcPr>
          <w:p>
            <w:pPr>
              <w:spacing w:after="40"/>
            </w:pPr>
            <w:r>
              <w:rPr>
                <w:sz w:val="19"/>
              </w:rPr>
            </w:r>
            <w:r>
              <w:rPr>
                <w:b/>
                <w:sz w:val="19"/>
              </w:rPr>
              <w:t>Input B — turnover as a prediction problem</w:t>
            </w:r>
          </w:p>
        </w:tc>
        <w:tc>
          <w:tcPr>
            <w:tcW w:type="dxa" w:w="3216"/>
          </w:tcPr>
          <w:p>
            <w:pPr>
              <w:spacing w:after="40"/>
            </w:pPr>
            <w:r>
              <w:rPr>
                <w:sz w:val="19"/>
              </w:rPr>
            </w:r>
            <w:r>
              <w:rPr>
                <w:sz w:val="19"/>
              </w:rPr>
              <w:t xml:space="preserve">What a model does, at concept level. The confusion matrix in plain English. False positive versus false negative </w:t>
            </w:r>
            <w:r>
              <w:rPr>
                <w:b/>
                <w:sz w:val="19"/>
              </w:rPr>
              <w:t>in Hong Kong dollars</w:t>
            </w:r>
            <w:r>
              <w:rPr>
                <w:sz w:val="19"/>
              </w:rPr>
              <w:t xml:space="preserve">. </w:t>
            </w:r>
            <w:r>
              <w:rPr>
                <w:i/>
                <w:sz w:val="19"/>
              </w:rPr>
              <w:t>When</w:t>
            </w:r>
            <w:r>
              <w:rPr>
                <w:sz w:val="19"/>
              </w:rPr>
              <w:t xml:space="preserve"> versus </w:t>
            </w:r>
            <w:r>
              <w:rPr>
                <w:i/>
                <w:sz w:val="19"/>
              </w:rPr>
              <w:t>whether</w:t>
            </w:r>
            <w:r>
              <w:rPr>
                <w:sz w:val="19"/>
              </w:rPr>
              <w:t>. Anything deeper → Dr Lee.</w:t>
            </w:r>
          </w:p>
        </w:tc>
      </w:tr>
      <w:tr>
        <w:tc>
          <w:tcPr>
            <w:tcW w:type="dxa" w:w="3216"/>
            <w:shd w:val="clear" w:fill="EEF3FA"/>
          </w:tcPr>
          <w:p>
            <w:pPr>
              <w:spacing w:after="40"/>
            </w:pPr>
            <w:r>
              <w:rPr>
                <w:sz w:val="19"/>
              </w:rPr>
            </w:r>
            <w:r>
              <w:rPr>
                <w:sz w:val="19"/>
              </w:rPr>
              <w:t>68–96</w:t>
            </w:r>
          </w:p>
        </w:tc>
        <w:tc>
          <w:tcPr>
            <w:tcW w:type="dxa" w:w="3216"/>
            <w:shd w:val="clear" w:fill="EEF3FA"/>
          </w:tcPr>
          <w:p>
            <w:pPr>
              <w:spacing w:after="40"/>
            </w:pPr>
            <w:r>
              <w:rPr>
                <w:sz w:val="19"/>
              </w:rPr>
            </w:r>
            <w:r>
              <w:rPr>
                <w:b/>
                <w:sz w:val="19"/>
              </w:rPr>
              <w:t>Activity — from score to action</w:t>
            </w:r>
          </w:p>
        </w:tc>
        <w:tc>
          <w:tcPr>
            <w:tcW w:type="dxa" w:w="3216"/>
            <w:shd w:val="clear" w:fill="EEF3FA"/>
          </w:tcPr>
          <w:p>
            <w:pPr>
              <w:spacing w:after="40"/>
            </w:pPr>
            <w:r>
              <w:rPr>
                <w:sz w:val="19"/>
              </w:rPr>
            </w:r>
            <w:r>
              <w:rPr>
                <w:sz w:val="19"/>
              </w:rPr>
              <w:t>The 40-name list and the twist</w:t>
            </w:r>
          </w:p>
        </w:tc>
      </w:tr>
      <w:tr>
        <w:tc>
          <w:tcPr>
            <w:tcW w:type="dxa" w:w="3216"/>
          </w:tcPr>
          <w:p>
            <w:pPr>
              <w:spacing w:after="40"/>
            </w:pPr>
            <w:r>
              <w:rPr>
                <w:sz w:val="19"/>
              </w:rPr>
            </w:r>
            <w:r>
              <w:rPr>
                <w:sz w:val="19"/>
              </w:rPr>
              <w:t>96–116</w:t>
            </w:r>
          </w:p>
        </w:tc>
        <w:tc>
          <w:tcPr>
            <w:tcW w:type="dxa" w:w="3216"/>
          </w:tcPr>
          <w:p>
            <w:pPr>
              <w:spacing w:after="40"/>
            </w:pPr>
            <w:r>
              <w:rPr>
                <w:sz w:val="19"/>
              </w:rPr>
            </w:r>
            <w:r>
              <w:rPr>
                <w:b/>
                <w:sz w:val="19"/>
              </w:rPr>
              <w:t>The closing discussion — who is allowed to see this?</w:t>
            </w:r>
          </w:p>
        </w:tc>
        <w:tc>
          <w:tcPr>
            <w:tcW w:type="dxa" w:w="3216"/>
          </w:tcPr>
          <w:p>
            <w:pPr>
              <w:spacing w:after="40"/>
            </w:pPr>
            <w:r>
              <w:rPr>
                <w:sz w:val="19"/>
              </w:rPr>
            </w:r>
            <w:r>
              <w:rPr>
                <w:sz w:val="19"/>
              </w:rPr>
              <w:t>Grounded in the PDPO (below). Everyone on record.</w:t>
            </w:r>
          </w:p>
        </w:tc>
      </w:tr>
      <w:tr>
        <w:tc>
          <w:tcPr>
            <w:tcW w:type="dxa" w:w="3216"/>
            <w:shd w:val="clear" w:fill="EEF3FA"/>
          </w:tcPr>
          <w:p>
            <w:pPr>
              <w:spacing w:after="40"/>
            </w:pPr>
            <w:r>
              <w:rPr>
                <w:sz w:val="19"/>
              </w:rPr>
            </w:r>
            <w:r>
              <w:rPr>
                <w:sz w:val="19"/>
              </w:rPr>
              <w:t>116–120</w:t>
            </w:r>
          </w:p>
        </w:tc>
        <w:tc>
          <w:tcPr>
            <w:tcW w:type="dxa" w:w="3216"/>
            <w:shd w:val="clear" w:fill="EEF3FA"/>
          </w:tcPr>
          <w:p>
            <w:pPr>
              <w:spacing w:after="40"/>
            </w:pPr>
            <w:r>
              <w:rPr>
                <w:sz w:val="19"/>
              </w:rPr>
            </w:r>
            <w:r>
              <w:rPr>
                <w:b/>
                <w:sz w:val="19"/>
              </w:rPr>
              <w:t>Close the series</w:t>
            </w:r>
          </w:p>
        </w:tc>
        <w:tc>
          <w:tcPr>
            <w:tcW w:type="dxa" w:w="3216"/>
            <w:shd w:val="clear" w:fill="EEF3FA"/>
          </w:tcPr>
          <w:p>
            <w:pPr>
              <w:spacing w:after="40"/>
            </w:pPr>
            <w:r>
              <w:rPr>
                <w:sz w:val="19"/>
              </w:rPr>
            </w:r>
            <w:r>
              <w:rPr>
                <w:sz w:val="19"/>
              </w:rPr>
              <w:t>The staircase, climbed four times. What you hope they carry into a Hong Kong career.</w:t>
            </w:r>
          </w:p>
        </w:tc>
      </w:tr>
    </w:tbl>
    <w:p>
      <w:pPr>
        <w:spacing w:after="80"/>
      </w:pPr>
    </w:p>
    <w:p>
      <w:pPr>
        <w:pStyle w:val="Heading3"/>
      </w:pPr>
      <w:r>
        <w:t>The activity — from score to action</w:t>
      </w:r>
    </w:p>
    <w:p>
      <w:r>
        <w:rPr>
          <w:b/>
        </w:rPr>
        <w:t>Part 1 (15 min):</w:t>
      </w:r>
      <w:r>
        <w:t xml:space="preserve"> groups get 40 named fictional employees with a risk score, role, tenure, manager, and estimated replacement cost. They decide where to draw the intervention line, what the intervention </w:t>
      </w:r>
      <w:r>
        <w:rPr>
          <w:i/>
        </w:rPr>
        <w:t>is</w:t>
      </w:r>
      <w:r>
        <w:t>, who is told, and what they will measure in six months.</w:t>
      </w:r>
    </w:p>
    <w:p>
      <w:r>
        <w:rPr>
          <w:b/>
        </w:rPr>
        <w:t>Part 2 — the twist (13 min):</w:t>
      </w:r>
      <w:r>
        <w:t xml:space="preserve"> tell them the model's two strongest drivers are </w:t>
      </w:r>
      <w:r>
        <w:rPr>
          <w:b/>
        </w:rPr>
        <w:t>"manager tenure under 12 months"</w:t>
      </w:r>
      <w:r>
        <w:t xml:space="preserve"> and </w:t>
      </w:r>
      <w:r>
        <w:rPr>
          <w:b/>
        </w:rPr>
        <w:t>"no promotion in 30 months."</w:t>
      </w:r>
      <w:r>
        <w:t xml:space="preserve"> What changes?</w:t>
      </w:r>
    </w:p>
    <w:p>
      <w:r>
        <w:t xml:space="preserve">The answer you're steering to: the problem moves from 40 individual retention payments to a </w:t>
      </w:r>
      <w:r>
        <w:rPr>
          <w:b/>
        </w:rPr>
        <w:t>manager-capability and career-path problem</w:t>
      </w:r>
      <w:r>
        <w:t xml:space="preserve"> — a systemic fix rather than 40 awkward conversations. That is the difference between predictive and prescriptive, and it lands harder here than anywhere else in the series.</w:t>
      </w:r>
    </w:p>
    <w:p>
      <w:r>
        <w:rPr>
          <w:b/>
        </w:rPr>
        <w:t>Screens off.</w:t>
      </w:r>
      <w:r>
        <w:t xml:space="preserve"> Print the 40-row table.</w:t>
      </w:r>
    </w:p>
    <w:p>
      <w:pPr>
        <w:pStyle w:val="Heading3"/>
      </w:pPr>
      <w:r>
        <w:t>The closing discussion — and why it's better in Hong Kong</w:t>
      </w:r>
    </w:p>
    <w:p>
      <w:r>
        <w:t>Don't run "who should see the list?" as an open philosophical question. Ground it:</w:t>
      </w:r>
    </w:p>
    <w:p>
      <w:pPr>
        <w:pStyle w:val="IntenseQuote"/>
      </w:pPr>
      <w:r>
        <w:rPr>
          <w:i/>
        </w:rPr>
        <w:t>"Under the Personal Data (Privacy) Ordinance, that risk score is personal data about an identified individual. Which means the purpose of collection matters, the use is limited to that purpose — and under Data Protection Principle 6, the person has a right of access to their own personal data. So think carefully before you answer: if an employee made a data access request, what exactly would you have to hand them?"</w:t>
      </w:r>
    </w:p>
    <w:p>
      <w:r>
        <w:t>Then take it round the room. It converts a discussion that usually goes nowhere into a genuine problem with a Hong Kong answer, and it is the best possible note to end four Sundays on.</w:t>
      </w:r>
    </w:p>
    <w:p>
      <w:r>
        <w:rPr>
          <w:b/>
        </w:rPr>
        <w:t>AT4 hook</w:t>
      </w:r>
      <w:r>
        <w:t xml:space="preserve"> </w:t>
      </w:r>
      <w:r>
        <w:rPr>
          <w:i/>
        </w:rPr>
        <w:t>(confirm with Dr Lee)</w:t>
      </w:r>
      <w:r>
        <w:t>: a threshold justified in cost terms, plus a stated position on access and disclosure, is what separates a strong project report from a weak one.</w:t>
      </w:r>
    </w:p>
    <w:p>
      <w:pPr>
        <w:pStyle w:val="Heading3"/>
      </w:pPr>
      <w:r>
        <w:t>What to prepare</w:t>
      </w:r>
    </w:p>
    <w:p>
      <w:r>
        <w:t>The 40-row printed table · cost-of-turnover worksheet on the post-May-2025 basis · Sunday 1's spreadsheet ready to re-run live · a one-line PDPO DPP 6 reference on a slide</w:t>
      </w:r>
    </w:p>
    <w:p>
      <w:r>
        <w:br w:type="page"/>
      </w:r>
    </w:p>
    <w:p>
      <w:pPr>
        <w:pStyle w:val="Heading2"/>
      </w:pPr>
      <w:r>
        <w:t>10. Staying in your lane</w:t>
      </w:r>
    </w:p>
    <w:p>
      <w:r>
        <w:t>Dr Lee owns the technology. That is a gift — you can say "not mine" without it reading as weakness.</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Yours</w:t>
            </w:r>
          </w:p>
        </w:tc>
        <w:tc>
          <w:tcPr>
            <w:tcW w:type="dxa" w:w="4824"/>
            <w:shd w:val="clear" w:fill="2E5496"/>
          </w:tcPr>
          <w:p>
            <w:pPr>
              <w:spacing w:after="40"/>
            </w:pPr>
            <w:r>
              <w:rPr>
                <w:b/>
                <w:color w:val="FFFFFF"/>
                <w:sz w:val="20"/>
              </w:rPr>
            </w:r>
            <w:r>
              <w:rPr>
                <w:b/>
                <w:color w:val="FFFFFF"/>
                <w:sz w:val="20"/>
              </w:rPr>
              <w:t>His</w:t>
            </w:r>
          </w:p>
        </w:tc>
      </w:tr>
      <w:tr>
        <w:tc>
          <w:tcPr>
            <w:tcW w:type="dxa" w:w="4824"/>
          </w:tcPr>
          <w:p>
            <w:pPr>
              <w:spacing w:after="40"/>
            </w:pPr>
            <w:r>
              <w:rPr>
                <w:sz w:val="19"/>
              </w:rPr>
            </w:r>
            <w:r>
              <w:rPr>
                <w:sz w:val="19"/>
              </w:rPr>
              <w:t>The decision, and who makes it</w:t>
            </w:r>
          </w:p>
        </w:tc>
        <w:tc>
          <w:tcPr>
            <w:tcW w:type="dxa" w:w="4824"/>
          </w:tcPr>
          <w:p>
            <w:pPr>
              <w:spacing w:after="40"/>
            </w:pPr>
            <w:r>
              <w:rPr>
                <w:sz w:val="19"/>
              </w:rPr>
            </w:r>
            <w:r>
              <w:rPr>
                <w:sz w:val="19"/>
              </w:rPr>
              <w:t>How the algorithm works</w:t>
            </w:r>
          </w:p>
        </w:tc>
      </w:tr>
      <w:tr>
        <w:tc>
          <w:tcPr>
            <w:tcW w:type="dxa" w:w="4824"/>
            <w:shd w:val="clear" w:fill="EEF3FA"/>
          </w:tcPr>
          <w:p>
            <w:pPr>
              <w:spacing w:after="40"/>
            </w:pPr>
            <w:r>
              <w:rPr>
                <w:sz w:val="19"/>
              </w:rPr>
            </w:r>
            <w:r>
              <w:rPr>
                <w:sz w:val="19"/>
              </w:rPr>
              <w:t xml:space="preserve">What the model is </w:t>
            </w:r>
            <w:r>
              <w:rPr>
                <w:i/>
                <w:sz w:val="19"/>
              </w:rPr>
              <w:t>for</w:t>
            </w:r>
            <w:r>
              <w:rPr>
                <w:sz w:val="19"/>
              </w:rPr>
              <w:t>, and what it must not be used for</w:t>
            </w:r>
          </w:p>
        </w:tc>
        <w:tc>
          <w:tcPr>
            <w:tcW w:type="dxa" w:w="4824"/>
            <w:shd w:val="clear" w:fill="EEF3FA"/>
          </w:tcPr>
          <w:p>
            <w:pPr>
              <w:spacing w:after="40"/>
            </w:pPr>
            <w:r>
              <w:rPr>
                <w:sz w:val="19"/>
              </w:rPr>
            </w:r>
            <w:r>
              <w:rPr>
                <w:sz w:val="19"/>
              </w:rPr>
              <w:t>How to build, tune or validate one</w:t>
            </w:r>
          </w:p>
        </w:tc>
      </w:tr>
      <w:tr>
        <w:tc>
          <w:tcPr>
            <w:tcW w:type="dxa" w:w="4824"/>
          </w:tcPr>
          <w:p>
            <w:pPr>
              <w:spacing w:after="40"/>
            </w:pPr>
            <w:r>
              <w:rPr>
                <w:sz w:val="19"/>
              </w:rPr>
            </w:r>
            <w:r>
              <w:rPr>
                <w:sz w:val="19"/>
              </w:rPr>
              <w:t>Hong Kong law, regulation and market practice</w:t>
            </w:r>
          </w:p>
        </w:tc>
        <w:tc>
          <w:tcPr>
            <w:tcW w:type="dxa" w:w="4824"/>
          </w:tcPr>
          <w:p>
            <w:pPr>
              <w:spacing w:after="40"/>
            </w:pPr>
            <w:r>
              <w:rPr>
                <w:sz w:val="19"/>
              </w:rPr>
            </w:r>
            <w:r>
              <w:rPr>
                <w:sz w:val="19"/>
              </w:rPr>
              <w:t>Software, code, statistics</w:t>
            </w:r>
          </w:p>
        </w:tc>
      </w:tr>
      <w:tr>
        <w:tc>
          <w:tcPr>
            <w:tcW w:type="dxa" w:w="4824"/>
            <w:shd w:val="clear" w:fill="EEF3FA"/>
          </w:tcPr>
          <w:p>
            <w:pPr>
              <w:spacing w:after="40"/>
            </w:pPr>
            <w:r>
              <w:rPr>
                <w:sz w:val="19"/>
              </w:rPr>
            </w:r>
            <w:r>
              <w:rPr>
                <w:sz w:val="19"/>
              </w:rPr>
              <w:t>Cost, fairness, governance, employee reaction</w:t>
            </w:r>
          </w:p>
        </w:tc>
        <w:tc>
          <w:tcPr>
            <w:tcW w:type="dxa" w:w="4824"/>
            <w:shd w:val="clear" w:fill="EEF3FA"/>
          </w:tcPr>
          <w:p>
            <w:pPr>
              <w:spacing w:after="40"/>
            </w:pPr>
            <w:r>
              <w:rPr>
                <w:sz w:val="19"/>
              </w:rPr>
            </w:r>
            <w:r>
              <w:rPr>
                <w:sz w:val="19"/>
              </w:rPr>
              <w:t>Model evaluation beyond reading a confusion matrix</w:t>
            </w:r>
          </w:p>
        </w:tc>
      </w:tr>
      <w:tr>
        <w:tc>
          <w:tcPr>
            <w:tcW w:type="dxa" w:w="4824"/>
          </w:tcPr>
          <w:p>
            <w:pPr>
              <w:spacing w:after="40"/>
            </w:pPr>
            <w:r>
              <w:rPr>
                <w:sz w:val="19"/>
              </w:rPr>
            </w:r>
            <w:r>
              <w:rPr>
                <w:sz w:val="19"/>
              </w:rPr>
              <w:t>What actually happens in a real HR meeting</w:t>
            </w:r>
          </w:p>
        </w:tc>
        <w:tc>
          <w:tcPr>
            <w:tcW w:type="dxa" w:w="4824"/>
          </w:tcPr>
          <w:p>
            <w:pPr>
              <w:spacing w:after="40"/>
            </w:pPr>
            <w:r>
              <w:rPr>
                <w:sz w:val="19"/>
              </w:rPr>
            </w:r>
            <w:r>
              <w:rPr>
                <w:sz w:val="19"/>
              </w:rPr>
              <w:t>Everything technical</w:t>
            </w:r>
          </w:p>
        </w:tc>
      </w:tr>
    </w:tbl>
    <w:p>
      <w:pPr>
        <w:spacing w:after="80"/>
      </w:pPr>
    </w:p>
    <w:p>
      <w:r>
        <w:rPr>
          <w:b/>
        </w:rPr>
        <w:t>Three honest hand-offs:</w:t>
      </w:r>
    </w:p>
    <w:p>
      <w:pPr>
        <w:pStyle w:val="ListNumber"/>
      </w:pPr>
      <w:r>
        <w:rPr>
          <w:b/>
        </w:rPr>
        <w:t>Redirect to the decision</w:t>
      </w:r>
      <w:r>
        <w:t xml:space="preserve"> — </w:t>
      </w:r>
      <w:r>
        <w:rPr>
          <w:i/>
        </w:rPr>
        <w:t>"I can't tell you how it weights that. I can tell you what happens when a manager receives that number and has to act on it, which is the part that goes wrong."</w:t>
      </w:r>
    </w:p>
    <w:p>
      <w:pPr>
        <w:pStyle w:val="ListNumber"/>
      </w:pPr>
      <w:r>
        <w:rPr>
          <w:b/>
        </w:rPr>
        <w:t>To Dr Lee</w:t>
      </w:r>
      <w:r>
        <w:t xml:space="preserve"> — </w:t>
      </w:r>
      <w:r>
        <w:rPr>
          <w:i/>
        </w:rPr>
        <w:t>"That's a modelling question and he's better placed. Let's park it."</w:t>
      </w:r>
    </w:p>
    <w:p>
      <w:pPr>
        <w:pStyle w:val="ListNumber"/>
      </w:pPr>
      <w:r>
        <w:rPr>
          <w:b/>
        </w:rPr>
        <w:t>Say you don't know</w:t>
      </w:r>
      <w:r>
        <w:t xml:space="preserve"> — </w:t>
      </w:r>
      <w:r>
        <w:rPr>
          <w:i/>
        </w:rPr>
        <w:t>"I don't know. My instinct is X, but don't quote me."</w:t>
      </w:r>
    </w:p>
    <w:p>
      <w:r>
        <w:rPr>
          <w:b/>
        </w:rPr>
        <w:t>Never bluff — on the technology or on the law.</w:t>
      </w:r>
      <w:r>
        <w:t xml:space="preserve"> In a room of 13 postgraduates you will be caught, and it costs you the authority on the Hong Kong content, which is the part they genuinely cannot get elsewhere.</w:t>
      </w:r>
    </w:p>
    <w:p>
      <w:r>
        <w:br w:type="page"/>
      </w:r>
    </w:p>
    <w:p>
      <w:pPr>
        <w:pStyle w:val="Heading2"/>
      </w:pPr>
      <w:r>
        <w:t>11. Still to settle with Dr Lee</w:t>
      </w:r>
    </w:p>
    <w:p>
      <w:pPr>
        <w:pStyle w:val="ListBullet"/>
      </w:pPr>
      <w:r>
        <w:rPr>
          <w:b/>
        </w:rPr>
        <w:t>The group project link.</w:t>
      </w:r>
      <w:r>
        <w:t xml:space="preserve"> Every session marks an AT4 hook. Naming them in class raises effort in your activities noticeably — worth doing if he agrees.</w:t>
      </w:r>
    </w:p>
    <w:p>
      <w:pPr>
        <w:pStyle w:val="ListBullet"/>
      </w:pPr>
      <w:r>
        <w:rPr>
          <w:b/>
        </w:rPr>
        <w:t>Sequence.</w:t>
      </w:r>
      <w:r>
        <w:t xml:space="preserve"> Since you're introducing the four-analytics ladder, you're presumably early in the course. Confirm — if he's already taught it, shrink Section 5 to three minutes.</w:t>
      </w:r>
    </w:p>
    <w:p>
      <w:pPr>
        <w:pStyle w:val="ListBullet"/>
      </w:pPr>
      <w:r>
        <w:rPr>
          <w:b/>
        </w:rPr>
        <w:t>Lab logistics.</w:t>
      </w:r>
      <w:r>
        <w:t xml:space="preserve"> Can you push a link to their machines? Is there classroom-management software? Do the chairs swivel? Is there a usable whiteboard, or is the shared document the only board you'll have?</w:t>
      </w:r>
    </w:p>
    <w:p>
      <w:pPr>
        <w:pStyle w:val="ListBullet"/>
      </w:pPr>
      <w:r>
        <w:rPr>
          <w:b/>
        </w:rPr>
        <w:t>Participation.</w:t>
      </w:r>
      <w:r>
        <w:t xml:space="preserve"> Offer three lines after each session naming who contributed. With 13 students you'll genuinely know.</w:t>
      </w:r>
    </w:p>
    <w:p>
      <w:pPr>
        <w:pStyle w:val="ListBullet"/>
      </w:pPr>
      <w:r>
        <w:rPr>
          <w:b/>
        </w:rPr>
        <w:t>Overlap.</w:t>
      </w:r>
      <w:r>
        <w:t xml:space="preserve"> Anything he's covering that you should avoid.</w:t>
      </w:r>
    </w:p>
    <w:p>
      <w:r>
        <w:br w:type="page"/>
      </w:r>
    </w:p>
    <w:p>
      <w:pPr>
        <w:pStyle w:val="Heading2"/>
      </w:pPr>
      <w:r>
        <w:t>12. Preparation checklist</w:t>
      </w:r>
    </w:p>
    <w:p>
      <w:r>
        <w:rPr>
          <w:b/>
        </w:rPr>
        <w:t>Once, before Sunday 1</w:t>
      </w:r>
    </w:p>
    <w:p>
      <w:pPr>
        <w:pStyle w:val="ListBullet"/>
      </w:pPr>
      <w:r>
        <w:t>Build the shared four-session document: ladder at the top, a glossary section, a pre-built section per Sunday</w:t>
      </w:r>
    </w:p>
    <w:p>
      <w:pPr>
        <w:pStyle w:val="ListBullet"/>
      </w:pPr>
      <w:r>
        <w:t>Build the Kestrel Pay shared spreadsheet, three tabs, assumptions wired, HK severance/LSP costing on the post-May-2025 basis</w:t>
      </w:r>
    </w:p>
    <w:p>
      <w:pPr>
        <w:pStyle w:val="ListBullet"/>
      </w:pPr>
      <w:r>
        <w:t>Write the Kestrel Pay one-pager — reused all four Sundays</w:t>
      </w:r>
    </w:p>
    <w:p>
      <w:pPr>
        <w:pStyle w:val="ListBullet"/>
      </w:pPr>
      <w:r>
        <w:t>Write and rehearse your 60-second "why me" and the "you are the data" opening</w:t>
      </w:r>
    </w:p>
    <w:p>
      <w:pPr>
        <w:pStyle w:val="ListBullet"/>
      </w:pPr>
      <w:r>
        <w:t>Name cards</w:t>
      </w:r>
    </w:p>
    <w:p>
      <w:pPr>
        <w:pStyle w:val="ListBullet"/>
      </w:pPr>
      <w:r>
        <w:rPr>
          <w:b/>
        </w:rPr>
        <w:t>Visit the lab.</w:t>
      </w:r>
      <w:r>
        <w:t xml:space="preserve"> Check: chairs swivel, projector connector, whether you can see all screens from the front, whether monitors can actually be switched off</w:t>
      </w:r>
    </w:p>
    <w:p>
      <w:r>
        <w:rPr>
          <w:b/>
        </w:rPr>
        <w:t>Per session</w:t>
      </w:r>
    </w:p>
    <w:p>
      <w:pPr>
        <w:pStyle w:val="ListBullet"/>
      </w:pPr>
      <w:r>
        <w:t xml:space="preserve">Printed run sheet with </w:t>
      </w:r>
      <w:r>
        <w:rPr>
          <w:b/>
        </w:rPr>
        <w:t>wall-clock end times</w:t>
      </w:r>
      <w:r>
        <w:t xml:space="preserve"> per block</w:t>
      </w:r>
    </w:p>
    <w:p>
      <w:pPr>
        <w:pStyle w:val="ListBullet"/>
      </w:pPr>
      <w:r>
        <w:t>That session's handout (funnel table / HK$3m scenario / 40-name list)</w:t>
      </w:r>
    </w:p>
    <w:p>
      <w:pPr>
        <w:pStyle w:val="ListBullet"/>
      </w:pPr>
      <w:r>
        <w:rPr>
          <w:b/>
        </w:rPr>
        <w:t>Re-check the moving figures in Section 3.2</w:t>
      </w:r>
      <w:r>
        <w:t xml:space="preserve"> against the primary source</w:t>
      </w:r>
    </w:p>
    <w:p>
      <w:pPr>
        <w:pStyle w:val="ListBullet"/>
      </w:pPr>
      <w:r>
        <w:t>One story from your own experience for the opening</w:t>
      </w:r>
    </w:p>
    <w:p>
      <w:r>
        <w:rPr>
          <w:b/>
        </w:rPr>
        <w:t>After each session (10 minutes, same day)</w:t>
      </w:r>
    </w:p>
    <w:p>
      <w:pPr>
        <w:pStyle w:val="ListBullet"/>
      </w:pPr>
      <w:r>
        <w:t>Three lines to Dr Lee: what you covered, what you ran, who contributed</w:t>
      </w:r>
    </w:p>
    <w:p>
      <w:pPr>
        <w:pStyle w:val="ListBullet"/>
      </w:pPr>
      <w:r>
        <w:t>Three lines to yourself: what ran long, what fell flat, what to change</w:t>
      </w:r>
    </w:p>
    <w:p>
      <w:pPr>
        <w:pStyle w:val="ListBullet"/>
      </w:pPr>
      <w:r>
        <w:t>Tidy the shared document so it's usable as a revision resource</w:t>
      </w:r>
    </w:p>
    <w:p>
      <w:r>
        <w:br w:type="page"/>
      </w:r>
    </w:p>
    <w:p>
      <w:pPr>
        <w:pStyle w:val="Heading2"/>
      </w:pPr>
      <w:r>
        <w:t>13. If it turns out to be three sessions, not four</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2E5496"/>
          </w:tcPr>
          <w:p>
            <w:pPr>
              <w:spacing w:after="40"/>
            </w:pPr>
            <w:r>
              <w:rPr>
                <w:b/>
                <w:color w:val="FFFFFF"/>
                <w:sz w:val="20"/>
              </w:rPr>
            </w:r>
            <w:r>
              <w:rPr>
                <w:b/>
                <w:color w:val="FFFFFF"/>
                <w:sz w:val="20"/>
              </w:rPr>
              <w:t>#</w:t>
            </w:r>
          </w:p>
        </w:tc>
        <w:tc>
          <w:tcPr>
            <w:tcW w:type="dxa" w:w="2412"/>
            <w:shd w:val="clear" w:fill="2E5496"/>
          </w:tcPr>
          <w:p>
            <w:pPr>
              <w:spacing w:after="40"/>
            </w:pPr>
            <w:r>
              <w:rPr>
                <w:b/>
                <w:color w:val="FFFFFF"/>
                <w:sz w:val="20"/>
              </w:rPr>
            </w:r>
            <w:r>
              <w:rPr>
                <w:b/>
                <w:color w:val="FFFFFF"/>
                <w:sz w:val="20"/>
              </w:rPr>
              <w:t>Session</w:t>
            </w:r>
          </w:p>
        </w:tc>
        <w:tc>
          <w:tcPr>
            <w:tcW w:type="dxa" w:w="2412"/>
            <w:shd w:val="clear" w:fill="2E5496"/>
          </w:tcPr>
          <w:p>
            <w:pPr>
              <w:spacing w:after="40"/>
            </w:pPr>
            <w:r>
              <w:rPr>
                <w:b/>
                <w:color w:val="FFFFFF"/>
                <w:sz w:val="20"/>
              </w:rPr>
            </w:r>
            <w:r>
              <w:rPr>
                <w:b/>
                <w:color w:val="FFFFFF"/>
                <w:sz w:val="20"/>
              </w:rPr>
              <w:t>Modules</w:t>
            </w:r>
          </w:p>
        </w:tc>
        <w:tc>
          <w:tcPr>
            <w:tcW w:type="dxa" w:w="2412"/>
            <w:shd w:val="clear" w:fill="2E5496"/>
          </w:tcPr>
          <w:p>
            <w:pPr>
              <w:spacing w:after="40"/>
            </w:pPr>
            <w:r>
              <w:rPr>
                <w:b/>
                <w:color w:val="FFFFFF"/>
                <w:sz w:val="20"/>
              </w:rPr>
            </w:r>
            <w:r>
              <w:rPr>
                <w:b/>
                <w:color w:val="FFFFFF"/>
                <w:sz w:val="20"/>
              </w:rPr>
              <w:t>What gets cut</w:t>
            </w:r>
          </w:p>
        </w:tc>
      </w:tr>
      <w:tr>
        <w:tc>
          <w:tcPr>
            <w:tcW w:type="dxa" w:w="2412"/>
          </w:tcPr>
          <w:p>
            <w:pPr>
              <w:spacing w:after="40"/>
            </w:pPr>
            <w:r>
              <w:rPr>
                <w:sz w:val="19"/>
              </w:rPr>
            </w:r>
            <w:r>
              <w:rPr>
                <w:sz w:val="19"/>
              </w:rPr>
              <w:t>1</w:t>
            </w:r>
          </w:p>
        </w:tc>
        <w:tc>
          <w:tcPr>
            <w:tcW w:type="dxa" w:w="2412"/>
          </w:tcPr>
          <w:p>
            <w:pPr>
              <w:spacing w:after="40"/>
            </w:pPr>
            <w:r>
              <w:rPr>
                <w:sz w:val="19"/>
              </w:rPr>
            </w:r>
            <w:r>
              <w:rPr>
                <w:sz w:val="19"/>
              </w:rPr>
              <w:t>Getting the right people in Hong Kong</w:t>
            </w:r>
          </w:p>
        </w:tc>
        <w:tc>
          <w:tcPr>
            <w:tcW w:type="dxa" w:w="2412"/>
          </w:tcPr>
          <w:p>
            <w:pPr>
              <w:spacing w:after="40"/>
            </w:pPr>
            <w:r>
              <w:rPr>
                <w:sz w:val="19"/>
              </w:rPr>
            </w:r>
            <w:r>
              <w:rPr>
                <w:sz w:val="19"/>
              </w:rPr>
              <w:t>Resourcing + Recruitment, both compressed to ~55 min</w:t>
            </w:r>
          </w:p>
        </w:tc>
        <w:tc>
          <w:tcPr>
            <w:tcW w:type="dxa" w:w="2412"/>
          </w:tcPr>
          <w:p>
            <w:pPr>
              <w:spacing w:after="40"/>
            </w:pPr>
            <w:r>
              <w:rPr>
                <w:sz w:val="19"/>
              </w:rPr>
            </w:r>
            <w:r>
              <w:rPr>
                <w:sz w:val="19"/>
              </w:rPr>
              <w:t>The job-ad research drops to 10 minutes; keep the age-discrimination point whatever else goes</w:t>
            </w:r>
          </w:p>
        </w:tc>
      </w:tr>
      <w:tr>
        <w:tc>
          <w:tcPr>
            <w:tcW w:type="dxa" w:w="2412"/>
            <w:shd w:val="clear" w:fill="EEF3FA"/>
          </w:tcPr>
          <w:p>
            <w:pPr>
              <w:spacing w:after="40"/>
            </w:pPr>
            <w:r>
              <w:rPr>
                <w:sz w:val="19"/>
              </w:rPr>
            </w:r>
            <w:r>
              <w:rPr>
                <w:sz w:val="19"/>
              </w:rPr>
              <w:t>2</w:t>
            </w:r>
          </w:p>
        </w:tc>
        <w:tc>
          <w:tcPr>
            <w:tcW w:type="dxa" w:w="2412"/>
            <w:shd w:val="clear" w:fill="EEF3FA"/>
          </w:tcPr>
          <w:p>
            <w:pPr>
              <w:spacing w:after="40"/>
            </w:pPr>
            <w:r>
              <w:rPr>
                <w:sz w:val="19"/>
              </w:rPr>
            </w:r>
            <w:r>
              <w:rPr>
                <w:sz w:val="19"/>
              </w:rPr>
              <w:t>Keeping them, and what it costs</w:t>
            </w:r>
          </w:p>
        </w:tc>
        <w:tc>
          <w:tcPr>
            <w:tcW w:type="dxa" w:w="2412"/>
            <w:shd w:val="clear" w:fill="EEF3FA"/>
          </w:tcPr>
          <w:p>
            <w:pPr>
              <w:spacing w:after="40"/>
            </w:pPr>
            <w:r>
              <w:rPr>
                <w:sz w:val="19"/>
              </w:rPr>
            </w:r>
            <w:r>
              <w:rPr>
                <w:sz w:val="19"/>
              </w:rPr>
              <w:t>Compensation &amp; Benefits, full</w:t>
            </w:r>
          </w:p>
        </w:tc>
        <w:tc>
          <w:tcPr>
            <w:tcW w:type="dxa" w:w="2412"/>
            <w:shd w:val="clear" w:fill="EEF3FA"/>
          </w:tcPr>
          <w:p>
            <w:pPr>
              <w:spacing w:after="40"/>
            </w:pPr>
            <w:r>
              <w:rPr>
                <w:sz w:val="19"/>
              </w:rPr>
            </w:r>
            <w:r>
              <w:rPr>
                <w:sz w:val="19"/>
              </w:rPr>
              <w:t>Nothing</w:t>
            </w:r>
          </w:p>
        </w:tc>
      </w:tr>
      <w:tr>
        <w:tc>
          <w:tcPr>
            <w:tcW w:type="dxa" w:w="2412"/>
          </w:tcPr>
          <w:p>
            <w:pPr>
              <w:spacing w:after="40"/>
            </w:pPr>
            <w:r>
              <w:rPr>
                <w:sz w:val="19"/>
              </w:rPr>
            </w:r>
            <w:r>
              <w:rPr>
                <w:sz w:val="19"/>
              </w:rPr>
              <w:t>3</w:t>
            </w:r>
          </w:p>
        </w:tc>
        <w:tc>
          <w:tcPr>
            <w:tcW w:type="dxa" w:w="2412"/>
          </w:tcPr>
          <w:p>
            <w:pPr>
              <w:spacing w:after="40"/>
            </w:pPr>
            <w:r>
              <w:rPr>
                <w:sz w:val="19"/>
              </w:rPr>
            </w:r>
            <w:r>
              <w:rPr>
                <w:sz w:val="19"/>
              </w:rPr>
              <w:t>Losing them, and seeing it coming</w:t>
            </w:r>
          </w:p>
        </w:tc>
        <w:tc>
          <w:tcPr>
            <w:tcW w:type="dxa" w:w="2412"/>
          </w:tcPr>
          <w:p>
            <w:pPr>
              <w:spacing w:after="40"/>
            </w:pPr>
            <w:r>
              <w:rPr>
                <w:sz w:val="19"/>
              </w:rPr>
            </w:r>
            <w:r>
              <w:rPr>
                <w:sz w:val="19"/>
              </w:rPr>
              <w:t>Predicting Turnover, full</w:t>
            </w:r>
          </w:p>
        </w:tc>
        <w:tc>
          <w:tcPr>
            <w:tcW w:type="dxa" w:w="2412"/>
          </w:tcPr>
          <w:p>
            <w:pPr>
              <w:spacing w:after="40"/>
            </w:pPr>
            <w:r>
              <w:rPr>
                <w:sz w:val="19"/>
              </w:rPr>
            </w:r>
            <w:r>
              <w:rPr>
                <w:sz w:val="19"/>
              </w:rPr>
              <w:t>Nothing</w:t>
            </w:r>
          </w:p>
        </w:tc>
      </w:tr>
    </w:tbl>
    <w:p>
      <w:pPr>
        <w:spacing w:after="80"/>
      </w:pPr>
    </w:p>
    <w:p>
      <w:r>
        <w:t>Merge Sundays 1 and 2; keep 3 and 4 whole. Those two carry the strongest activities in the series — the HK$3m evaluation and the PDPO access-rights closer — and neither survives compression.</w:t>
      </w:r>
    </w:p>
    <w:p>
      <w:r>
        <w:br w:type="page"/>
      </w:r>
    </w:p>
    <w:p>
      <w:pPr>
        <w:pStyle w:val="Heading2"/>
      </w:pPr>
      <w:r>
        <w:t>Appendix — Hong Kong sources cited in this plan</w:t>
      </w:r>
    </w:p>
    <w:p>
      <w:pPr>
        <w:pStyle w:val="ListBullet"/>
      </w:pPr>
      <w:r>
        <w:t>Labour Department — Employment Ordinance, abolition of MPF offsetting, and the practical guidelines on age discrimination in employment: labour.gov.hk</w:t>
      </w:r>
    </w:p>
    <w:p>
      <w:pPr>
        <w:pStyle w:val="ListBullet"/>
      </w:pPr>
      <w:r>
        <w:t>Mandatory Provident Fund Schemes Authority — contributions, and long service and severance payments: mpfa.org.hk</w:t>
      </w:r>
    </w:p>
    <w:p>
      <w:pPr>
        <w:pStyle w:val="ListBullet"/>
      </w:pPr>
      <w:r>
        <w:t xml:space="preserve">Office of the Privacy Commissioner for Personal Data — PDPO and the </w:t>
      </w:r>
      <w:r>
        <w:rPr>
          <w:b/>
        </w:rPr>
        <w:t>Code of Practice on Human Resource Management</w:t>
      </w:r>
      <w:r>
        <w:t>: pcpd.org.hk</w:t>
      </w:r>
    </w:p>
    <w:p>
      <w:pPr>
        <w:pStyle w:val="ListBullet"/>
      </w:pPr>
      <w:r>
        <w:t>Equal Opportunities Commission — Sex (Cap. 480), Disability (Cap. 487), Family Status (Cap. 527) and Race (Cap. 602) Discrimination Ordinances: eoc.org.hk</w:t>
      </w:r>
    </w:p>
    <w:p>
      <w:pPr>
        <w:pStyle w:val="ListBullet"/>
      </w:pPr>
      <w:r>
        <w:t xml:space="preserve">Hong Kong Monetary Authority — </w:t>
      </w:r>
      <w:r>
        <w:rPr>
          <w:b/>
        </w:rPr>
        <w:t>Supervisory Policy Manual CG-5, Guideline on a Sound Remuneration System</w:t>
      </w:r>
      <w:r>
        <w:t>; Enhanced Competency Framework; virtual bank licensing: hkma.gov.hk</w:t>
      </w:r>
    </w:p>
    <w:p>
      <w:pPr>
        <w:pStyle w:val="ListBullet"/>
      </w:pPr>
      <w:r>
        <w:t>Securities and Futures Commission — licensing and fit-and-proper requirements: sfc.hk</w:t>
      </w:r>
    </w:p>
    <w:p>
      <w:pPr>
        <w:pStyle w:val="ListBullet"/>
      </w:pPr>
      <w:r>
        <w:t>Immigration Department — IANG, GEP, TTPS, QMAS: immd.gov.hk</w:t>
      </w:r>
    </w:p>
    <w:p>
      <w:r>
        <w:rPr>
          <w:b/>
        </w:rPr>
        <w:t>Course readings that pair with the Hong Kong material:</w:t>
      </w:r>
      <w:r>
        <w:t xml:space="preserve"> Köchling &amp; Wehner (2020) on algorithmic discrimination and Liem et al. (2018) on algorithmic screening, for Sunday 2 · Ahammad et al. (2015) on incentive schemes in commercial banks and Llanos &amp; Bin Ahmad (2016) on compensation and commitment across markets, for Sunday 3 · Giermindl et al. (2022) on the dark sides of people analytics, for Sunday 4 · McCartney &amp; Fu (2022) on why HR analytics so often changes nothing, usable in any session.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E5496"/>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2E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