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A44"/>
          <w:sz w:val="80"/>
        </w:rPr>
        <w:t>JURIA</w:t>
      </w:r>
    </w:p>
    <w:p>
      <w:pPr>
        <w:jc w:val="center"/>
      </w:pPr>
      <w:r>
        <w:rPr>
          <w:b/>
          <w:color w:val="B08D57"/>
          <w:sz w:val="44"/>
        </w:rPr>
        <w:t>Dossier de Spécifications Fonctionnelles</w:t>
      </w:r>
    </w:p>
    <w:p/>
    <w:p>
      <w:pPr>
        <w:jc w:val="center"/>
      </w:pPr>
      <w:r>
        <w:rPr>
          <w:color w:val="6B7280"/>
          <w:sz w:val="28"/>
        </w:rPr>
        <w:t>Application de gestion de cabinet d'avocats — JFC Avocats Mali</w:t>
      </w:r>
    </w:p>
    <w:p>
      <w:pPr>
        <w:jc w:val="center"/>
      </w:pPr>
      <w:r>
        <w:rPr>
          <w:i/>
          <w:color w:val="6B7280"/>
          <w:sz w:val="22"/>
        </w:rPr>
        <w:t>Droit des affaires OHADA — Barreau du Mali</w:t>
      </w:r>
    </w:p>
    <w:p/>
    <w:p/>
    <w:p/>
    <w:p/>
    <w:p/>
    <w:p/>
    <w:p>
      <w:pPr>
        <w:jc w:val="center"/>
      </w:pPr>
      <w:r>
        <w:rPr>
          <w:b/>
          <w:sz w:val="24"/>
        </w:rPr>
        <w:t>16 août 2026</w:t>
      </w:r>
    </w:p>
    <w:p>
      <w:pPr>
        <w:jc w:val="center"/>
      </w:pPr>
      <w:r>
        <w:rPr>
          <w:i/>
          <w:color w:val="6B7280"/>
          <w:sz w:val="19"/>
        </w:rPr>
        <w:t>Document généré à partir du prototype de démonstration interactif</w:t>
        <w:br/>
        <w:t>« JURIA demo - MAJ 09.08.2026 » et du mémo de passation au développeur</w:t>
      </w:r>
    </w:p>
    <w:p>
      <w:r>
        <w:br w:type="page"/>
      </w:r>
    </w:p>
    <w:p>
      <w:pPr>
        <w:pStyle w:val="Heading1"/>
      </w:pPr>
      <w:r>
        <w:t>Sommaire</w:t>
      </w:r>
    </w:p>
    <w:p>
      <w:r>
        <w:rPr>
          <w:b w:val="0"/>
          <w:i w:val="0"/>
          <w:sz w:val="22"/>
        </w:rPr>
        <w:t>1. Introduction et contexte</w:t>
      </w:r>
    </w:p>
    <w:p>
      <w:r>
        <w:rPr>
          <w:b w:val="0"/>
          <w:i w:val="0"/>
          <w:sz w:val="22"/>
        </w:rPr>
        <w:t>2. Périmètre fonctionnel</w:t>
      </w:r>
    </w:p>
    <w:p>
      <w:r>
        <w:rPr>
          <w:b w:val="0"/>
          <w:i w:val="0"/>
          <w:sz w:val="22"/>
        </w:rPr>
        <w:t>3. Acteurs et rôles</w:t>
      </w:r>
    </w:p>
    <w:p>
      <w:r>
        <w:rPr>
          <w:b w:val="0"/>
          <w:i w:val="0"/>
          <w:sz w:val="22"/>
        </w:rPr>
        <w:t>4. Spécifications détaillées par module</w:t>
      </w:r>
    </w:p>
    <w:p>
      <w:r>
        <w:rPr>
          <w:b w:val="0"/>
          <w:i w:val="0"/>
          <w:sz w:val="22"/>
        </w:rPr>
        <w:t xml:space="preserve">   4.1 Cockpit</w:t>
      </w:r>
    </w:p>
    <w:p>
      <w:r>
        <w:rPr>
          <w:b w:val="0"/>
          <w:i w:val="0"/>
          <w:sz w:val="22"/>
        </w:rPr>
        <w:t xml:space="preserve">   4.2 Dossiers 360</w:t>
      </w:r>
    </w:p>
    <w:p>
      <w:r>
        <w:rPr>
          <w:b w:val="0"/>
          <w:i w:val="0"/>
          <w:sz w:val="22"/>
        </w:rPr>
        <w:t xml:space="preserve">   4.3 Nouveau dossier (ouverture)</w:t>
      </w:r>
    </w:p>
    <w:p>
      <w:r>
        <w:rPr>
          <w:b w:val="0"/>
          <w:i w:val="0"/>
          <w:sz w:val="22"/>
        </w:rPr>
        <w:t xml:space="preserve">   4.4 Clients &amp; KYC</w:t>
      </w:r>
    </w:p>
    <w:p>
      <w:r>
        <w:rPr>
          <w:b w:val="0"/>
          <w:i w:val="0"/>
          <w:sz w:val="22"/>
        </w:rPr>
        <w:t xml:space="preserve">   4.5 Échéancier</w:t>
      </w:r>
    </w:p>
    <w:p>
      <w:r>
        <w:rPr>
          <w:b w:val="0"/>
          <w:i w:val="0"/>
          <w:sz w:val="22"/>
        </w:rPr>
        <w:t xml:space="preserve">   4.6 Rôle d'audience</w:t>
      </w:r>
    </w:p>
    <w:p>
      <w:r>
        <w:rPr>
          <w:b w:val="0"/>
          <w:i w:val="0"/>
          <w:sz w:val="22"/>
        </w:rPr>
        <w:t xml:space="preserve">   4.7 Registre du courrier</w:t>
      </w:r>
    </w:p>
    <w:p>
      <w:r>
        <w:rPr>
          <w:b w:val="0"/>
          <w:i w:val="0"/>
          <w:sz w:val="22"/>
        </w:rPr>
        <w:t xml:space="preserve">   4.8 Atelier d'actes</w:t>
      </w:r>
    </w:p>
    <w:p>
      <w:r>
        <w:rPr>
          <w:b w:val="0"/>
          <w:i w:val="0"/>
          <w:sz w:val="22"/>
        </w:rPr>
        <w:t xml:space="preserve">   4.9 Bibliothèque</w:t>
      </w:r>
    </w:p>
    <w:p>
      <w:r>
        <w:rPr>
          <w:b w:val="0"/>
          <w:i w:val="0"/>
          <w:sz w:val="22"/>
        </w:rPr>
        <w:t xml:space="preserve">   4.10 Plan d'action</w:t>
      </w:r>
    </w:p>
    <w:p>
      <w:r>
        <w:rPr>
          <w:b w:val="0"/>
          <w:i w:val="0"/>
          <w:sz w:val="22"/>
        </w:rPr>
        <w:t xml:space="preserve">   4.11 Chrono &amp; Facturation</w:t>
      </w:r>
    </w:p>
    <w:p>
      <w:r>
        <w:rPr>
          <w:b w:val="0"/>
          <w:i w:val="0"/>
          <w:sz w:val="22"/>
        </w:rPr>
        <w:t xml:space="preserve">   4.12 Dépenses &amp; caisse</w:t>
      </w:r>
    </w:p>
    <w:p>
      <w:r>
        <w:rPr>
          <w:b w:val="0"/>
          <w:i w:val="0"/>
          <w:sz w:val="22"/>
        </w:rPr>
        <w:t xml:space="preserve">   4.13 Rétrocessions</w:t>
      </w:r>
    </w:p>
    <w:p>
      <w:r>
        <w:rPr>
          <w:b w:val="0"/>
          <w:i w:val="0"/>
          <w:sz w:val="22"/>
        </w:rPr>
        <w:t xml:space="preserve">   4.14 Accès &amp; permissions</w:t>
      </w:r>
    </w:p>
    <w:p>
      <w:r>
        <w:rPr>
          <w:b w:val="0"/>
          <w:i w:val="0"/>
          <w:sz w:val="22"/>
        </w:rPr>
        <w:t xml:space="preserve">   4.15 Cabinet / RH</w:t>
      </w:r>
    </w:p>
    <w:p>
      <w:r>
        <w:rPr>
          <w:b w:val="0"/>
          <w:i w:val="0"/>
          <w:sz w:val="22"/>
        </w:rPr>
        <w:t xml:space="preserve">   4.16 Assistant IA</w:t>
      </w:r>
    </w:p>
    <w:p>
      <w:r>
        <w:rPr>
          <w:b w:val="0"/>
          <w:i w:val="0"/>
          <w:sz w:val="22"/>
        </w:rPr>
        <w:t xml:space="preserve">   4.17 Portail client</w:t>
      </w:r>
    </w:p>
    <w:p>
      <w:r>
        <w:rPr>
          <w:b w:val="0"/>
          <w:i w:val="0"/>
          <w:sz w:val="22"/>
        </w:rPr>
        <w:t>5. Modèle de données transverse</w:t>
      </w:r>
    </w:p>
    <w:p>
      <w:r>
        <w:rPr>
          <w:b w:val="0"/>
          <w:i w:val="0"/>
          <w:sz w:val="22"/>
        </w:rPr>
        <w:t>6. Règles métier transverses</w:t>
      </w:r>
    </w:p>
    <w:p>
      <w:r>
        <w:rPr>
          <w:b w:val="0"/>
          <w:i w:val="0"/>
          <w:sz w:val="22"/>
        </w:rPr>
        <w:t>7. Exigences non fonctionnelles déduites</w:t>
      </w:r>
    </w:p>
    <w:p>
      <w:r>
        <w:rPr>
          <w:b w:val="0"/>
          <w:i w:val="0"/>
          <w:sz w:val="22"/>
        </w:rPr>
        <w:t>8. Annexe — Nomenclatures et listes de référence</w:t>
      </w:r>
    </w:p>
    <w:p>
      <w:r>
        <w:br w:type="page"/>
      </w:r>
    </w:p>
    <w:p>
      <w:pPr>
        <w:pStyle w:val="Heading1"/>
      </w:pPr>
      <w:r>
        <w:t>1. Introduction et contexte</w:t>
      </w:r>
    </w:p>
    <w:p>
      <w:r>
        <w:rPr>
          <w:b w:val="0"/>
          <w:i w:val="0"/>
          <w:sz w:val="21"/>
        </w:rPr>
        <w:t>Le présent document constitue le Dossier de Spécifications Fonctionnelles de JURIA, l'application de gestion et de pratique juridique conçue pour le cabinet JFC Avocats Mali (société civile professionnelle d'avocats, Barreau du Mali). Il a pour objet de décrire, module par module, le périmètre fonctionnel attendu de l'application : les objectifs métier, les données manipulées, les actions utilisateur, les règles de gestion et les indicateurs affichés à l'écran.</w:t>
      </w:r>
    </w:p>
    <w:p>
      <w:r>
        <w:rPr>
          <w:b w:val="0"/>
          <w:i w:val="0"/>
          <w:sz w:val="21"/>
        </w:rPr>
        <w:t>Le cabinet JFC Avocats Mali exerce principalement en droit des affaires OHADA (Organisation pour l'Harmonisation en Afrique du Droit des Affaires), ainsi qu'en droit civil, pénal, social, fiscal, foncier/immobilier et en arbitrage (CCJA). JURIA doit couvrir l'ensemble du cycle de vie d'un dossier — de l'ouverture (avec contrôle des conflits d'intérêts) jusqu'à la facturation et la rétrocession d'honoraires — ainsi que les fonctions transverses du cabinet (courrier, échéances, ressources humaines, gestion documentaire, veille juridique).</w:t>
      </w:r>
    </w:p>
    <w:p>
      <w:r>
        <w:rPr>
          <w:b w:val="0"/>
          <w:i w:val="0"/>
          <w:sz w:val="21"/>
        </w:rPr>
        <w:t>Ce document a été rédigé à partir de l'analyse détaillée du prototype de démonstration interactif « JURIA demo - MAJ 09.08.2026 » (maquette cliquable en HTML/JavaScript représentant l'ensemble des 17 modules de l'application, avec un jeu de données fictif mais réaliste) et du mémo de passation « JURIA A remettre au développeur - MAJ 09.08.2026 », qui précise plusieurs règles de gestion non visibles à l'écran (structure des tables, alertes, périodicités). La démo interactive reste la maquette de référence : en cas de doute d'interprétation, elle prévaut.</w:t>
      </w:r>
    </w:p>
    <w:p>
      <w:r>
        <w:rPr>
          <w:b w:val="0"/>
          <w:i w:val="0"/>
          <w:sz w:val="21"/>
        </w:rPr>
        <w:t>Il ne s'agit pas d'un cahier des charges technique : les choix d'architecture, d'hébergement et d'implémentation sont définis dans des documents séparés (plan de mise en œuvre MVP, schéma de base de données, script de déploiement).</w:t>
      </w:r>
    </w:p>
    <w:p>
      <w:pPr>
        <w:pStyle w:val="Heading1"/>
      </w:pPr>
      <w:r>
        <w:t>2. Périmètre fonctionnel</w:t>
      </w:r>
    </w:p>
    <w:p>
      <w:r>
        <w:rPr>
          <w:b w:val="0"/>
          <w:i w:val="0"/>
          <w:sz w:val="21"/>
        </w:rPr>
        <w:t>JURIA se compose de 17 modules, organisés en deux grandes familles dans la navigation de l'application : les modules « Métier » (gestion des dossiers et de l'activité juridique) et les modules « Gestion » (pilotage administratif, financier et humain du cabinet).</w:t>
      </w:r>
    </w:p>
    <w:tbl>
      <w:tblPr>
        <w:tblStyle w:val="TableGrid"/>
        <w:tblW w:type="auto" w:w="0"/>
        <w:jc w:val="center"/>
        <w:tblLook w:firstColumn="1" w:firstRow="1" w:lastColumn="0" w:lastRow="0" w:noHBand="0" w:noVBand="1" w:val="04A0"/>
      </w:tblPr>
      <w:tblGrid>
        <w:gridCol w:w="4873"/>
        <w:gridCol w:w="4873"/>
      </w:tblGrid>
      <w:tr>
        <w:tc>
          <w:tcPr>
            <w:tcW w:type="dxa" w:w="2268"/>
            <w:shd w:fill="1F2A44"/>
          </w:tcPr>
          <w:p>
            <w:r/>
            <w:r>
              <w:rPr>
                <w:b/>
                <w:color w:val="FFFFFF"/>
                <w:sz w:val="19"/>
              </w:rPr>
              <w:t>Module</w:t>
            </w:r>
          </w:p>
        </w:tc>
        <w:tc>
          <w:tcPr>
            <w:tcW w:type="dxa" w:w="6803"/>
            <w:shd w:fill="1F2A44"/>
          </w:tcPr>
          <w:p>
            <w:r/>
            <w:r>
              <w:rPr>
                <w:b/>
                <w:color w:val="FFFFFF"/>
                <w:sz w:val="19"/>
              </w:rPr>
              <w:t>Objectif (synthèse)</w:t>
            </w:r>
          </w:p>
        </w:tc>
      </w:tr>
      <w:tr>
        <w:tc>
          <w:tcPr>
            <w:tcW w:type="dxa" w:w="2268"/>
          </w:tcPr>
          <w:p>
            <w:r/>
            <w:r>
              <w:rPr>
                <w:sz w:val="19"/>
              </w:rPr>
              <w:t>Cockpit</w:t>
            </w:r>
          </w:p>
        </w:tc>
        <w:tc>
          <w:tcPr>
            <w:tcW w:type="dxa" w:w="6803"/>
          </w:tcPr>
          <w:p>
            <w:r/>
            <w:r>
              <w:rPr>
                <w:sz w:val="19"/>
              </w:rPr>
              <w:t>Vue d'ensemble et pilotage : KPIs clés, délais critiques, temps facturable, rentabilité, tâches personnelles.</w:t>
            </w:r>
          </w:p>
        </w:tc>
      </w:tr>
      <w:tr>
        <w:tc>
          <w:tcPr>
            <w:tcW w:type="dxa" w:w="2268"/>
          </w:tcPr>
          <w:p>
            <w:r/>
            <w:r>
              <w:rPr>
                <w:sz w:val="19"/>
              </w:rPr>
              <w:t>Dossiers 360</w:t>
            </w:r>
          </w:p>
        </w:tc>
        <w:tc>
          <w:tcPr>
            <w:tcW w:type="dxa" w:w="6803"/>
          </w:tcPr>
          <w:p>
            <w:r/>
            <w:r>
              <w:rPr>
                <w:sz w:val="19"/>
              </w:rPr>
              <w:t>Liste de tous les dossiers du cabinet et accès à la fiche dossier complète (parties, délais, pièces, temps, communications, IA).</w:t>
            </w:r>
          </w:p>
        </w:tc>
      </w:tr>
      <w:tr>
        <w:tc>
          <w:tcPr>
            <w:tcW w:type="dxa" w:w="2268"/>
          </w:tcPr>
          <w:p>
            <w:r/>
            <w:r>
              <w:rPr>
                <w:sz w:val="19"/>
              </w:rPr>
              <w:t>Nouveau dossier</w:t>
            </w:r>
          </w:p>
        </w:tc>
        <w:tc>
          <w:tcPr>
            <w:tcW w:type="dxa" w:w="6803"/>
          </w:tcPr>
          <w:p>
            <w:r/>
            <w:r>
              <w:rPr>
                <w:sz w:val="19"/>
              </w:rPr>
              <w:t>Ouverture d'un dossier avec contrôle obligatoire des conflits d'intérêts puis création (référence, lettre de mission, KYC, tâches).</w:t>
            </w:r>
          </w:p>
        </w:tc>
      </w:tr>
      <w:tr>
        <w:tc>
          <w:tcPr>
            <w:tcW w:type="dxa" w:w="2268"/>
          </w:tcPr>
          <w:p>
            <w:r/>
            <w:r>
              <w:rPr>
                <w:sz w:val="19"/>
              </w:rPr>
              <w:t>Clients &amp; KYC</w:t>
            </w:r>
          </w:p>
        </w:tc>
        <w:tc>
          <w:tcPr>
            <w:tcW w:type="dxa" w:w="6803"/>
          </w:tcPr>
          <w:p>
            <w:r/>
            <w:r>
              <w:rPr>
                <w:sz w:val="19"/>
              </w:rPr>
              <w:t>Registre des clients, connaissance client (KYC), alertes de renouvellement de pièces, registre des originaux confiés.</w:t>
            </w:r>
          </w:p>
        </w:tc>
      </w:tr>
      <w:tr>
        <w:tc>
          <w:tcPr>
            <w:tcW w:type="dxa" w:w="2268"/>
          </w:tcPr>
          <w:p>
            <w:r/>
            <w:r>
              <w:rPr>
                <w:sz w:val="19"/>
              </w:rPr>
              <w:t>Échéancier</w:t>
            </w:r>
          </w:p>
        </w:tc>
        <w:tc>
          <w:tcPr>
            <w:tcW w:type="dxa" w:w="6803"/>
          </w:tcPr>
          <w:p>
            <w:r/>
            <w:r>
              <w:rPr>
                <w:sz w:val="19"/>
              </w:rPr>
              <w:t>Agenda des délais de procédure par dossier et des échéances administratives récurrentes du cabinet (fiscales, sociales, ordinales).</w:t>
            </w:r>
          </w:p>
        </w:tc>
      </w:tr>
      <w:tr>
        <w:tc>
          <w:tcPr>
            <w:tcW w:type="dxa" w:w="2268"/>
          </w:tcPr>
          <w:p>
            <w:r/>
            <w:r>
              <w:rPr>
                <w:sz w:val="19"/>
              </w:rPr>
              <w:t>Rôle d'audience</w:t>
            </w:r>
          </w:p>
        </w:tc>
        <w:tc>
          <w:tcPr>
            <w:tcW w:type="dxa" w:w="6803"/>
          </w:tcPr>
          <w:p>
            <w:r/>
            <w:r>
              <w:rPr>
                <w:sz w:val="19"/>
              </w:rPr>
              <w:t>Agenda hebdomadaire des audiences, diffusion à l'équipe, planning des diligences et enregistrement des retours d'audience.</w:t>
            </w:r>
          </w:p>
        </w:tc>
      </w:tr>
      <w:tr>
        <w:tc>
          <w:tcPr>
            <w:tcW w:type="dxa" w:w="2268"/>
          </w:tcPr>
          <w:p>
            <w:r/>
            <w:r>
              <w:rPr>
                <w:sz w:val="19"/>
              </w:rPr>
              <w:t>Registre du courrier</w:t>
            </w:r>
          </w:p>
        </w:tc>
        <w:tc>
          <w:tcPr>
            <w:tcW w:type="dxa" w:w="6803"/>
          </w:tcPr>
          <w:p>
            <w:r/>
            <w:r>
              <w:rPr>
                <w:sz w:val="19"/>
              </w:rPr>
              <w:t>Enregistrement du courrier arrivée/départ, référencement automatique, numérisation GED, déclenchement d'événements.</w:t>
            </w:r>
          </w:p>
        </w:tc>
      </w:tr>
      <w:tr>
        <w:tc>
          <w:tcPr>
            <w:tcW w:type="dxa" w:w="2268"/>
          </w:tcPr>
          <w:p>
            <w:r/>
            <w:r>
              <w:rPr>
                <w:sz w:val="19"/>
              </w:rPr>
              <w:t>Atelier d'actes</w:t>
            </w:r>
          </w:p>
        </w:tc>
        <w:tc>
          <w:tcPr>
            <w:tcW w:type="dxa" w:w="6803"/>
          </w:tcPr>
          <w:p>
            <w:r/>
            <w:r>
              <w:rPr>
                <w:sz w:val="19"/>
              </w:rPr>
              <w:t>Génération d'actes juridiques à partir de modèles GED ou en draft assisté par IA, avec visas et en-tête du cabinet.</w:t>
            </w:r>
          </w:p>
        </w:tc>
      </w:tr>
      <w:tr>
        <w:tc>
          <w:tcPr>
            <w:tcW w:type="dxa" w:w="2268"/>
          </w:tcPr>
          <w:p>
            <w:r/>
            <w:r>
              <w:rPr>
                <w:sz w:val="19"/>
              </w:rPr>
              <w:t>Bibliothèque</w:t>
            </w:r>
          </w:p>
        </w:tc>
        <w:tc>
          <w:tcPr>
            <w:tcW w:type="dxa" w:w="6803"/>
          </w:tcPr>
          <w:p>
            <w:r/>
            <w:r>
              <w:rPr>
                <w:sz w:val="19"/>
              </w:rPr>
              <w:t>Base documentaire juridique : jurisprudence, textes OHADA, veille législative, modèles, consultations, checklists.</w:t>
            </w:r>
          </w:p>
        </w:tc>
      </w:tr>
      <w:tr>
        <w:tc>
          <w:tcPr>
            <w:tcW w:type="dxa" w:w="2268"/>
          </w:tcPr>
          <w:p>
            <w:r/>
            <w:r>
              <w:rPr>
                <w:sz w:val="19"/>
              </w:rPr>
              <w:t>Plan d'action</w:t>
            </w:r>
          </w:p>
        </w:tc>
        <w:tc>
          <w:tcPr>
            <w:tcW w:type="dxa" w:w="6803"/>
          </w:tcPr>
          <w:p>
            <w:r/>
            <w:r>
              <w:rPr>
                <w:sz w:val="19"/>
              </w:rPr>
              <w:t>Suivi des tâches du cabinet sous forme de tableau kanban (à faire / en cours / à valider / terminé).</w:t>
            </w:r>
          </w:p>
        </w:tc>
      </w:tr>
      <w:tr>
        <w:tc>
          <w:tcPr>
            <w:tcW w:type="dxa" w:w="2268"/>
          </w:tcPr>
          <w:p>
            <w:r/>
            <w:r>
              <w:rPr>
                <w:sz w:val="19"/>
              </w:rPr>
              <w:t>Chrono &amp; Facturation</w:t>
            </w:r>
          </w:p>
        </w:tc>
        <w:tc>
          <w:tcPr>
            <w:tcW w:type="dxa" w:w="6803"/>
          </w:tcPr>
          <w:p>
            <w:r/>
            <w:r>
              <w:rPr>
                <w:sz w:val="19"/>
              </w:rPr>
              <w:t>Édition automatique de factures et notes de frais, suivi des impayés et des encaissements.</w:t>
            </w:r>
          </w:p>
        </w:tc>
      </w:tr>
      <w:tr>
        <w:tc>
          <w:tcPr>
            <w:tcW w:type="dxa" w:w="2268"/>
          </w:tcPr>
          <w:p>
            <w:r/>
            <w:r>
              <w:rPr>
                <w:sz w:val="19"/>
              </w:rPr>
              <w:t>Dépenses &amp; caisse</w:t>
            </w:r>
          </w:p>
        </w:tc>
        <w:tc>
          <w:tcPr>
            <w:tcW w:type="dxa" w:w="6803"/>
          </w:tcPr>
          <w:p>
            <w:r/>
            <w:r>
              <w:rPr>
                <w:sz w:val="19"/>
              </w:rPr>
              <w:t>Gestion des charges du cabinet, des débours avancés pour les clients, de la petite caisse et des vignettes de plaidoirie.</w:t>
            </w:r>
          </w:p>
        </w:tc>
      </w:tr>
      <w:tr>
        <w:tc>
          <w:tcPr>
            <w:tcW w:type="dxa" w:w="2268"/>
          </w:tcPr>
          <w:p>
            <w:r/>
            <w:r>
              <w:rPr>
                <w:sz w:val="19"/>
              </w:rPr>
              <w:t>Rétrocessions</w:t>
            </w:r>
          </w:p>
        </w:tc>
        <w:tc>
          <w:tcPr>
            <w:tcW w:type="dxa" w:w="6803"/>
          </w:tcPr>
          <w:p>
            <w:r/>
            <w:r>
              <w:rPr>
                <w:sz w:val="19"/>
              </w:rPr>
              <w:t>Calcul et suivi des rétrocessions d'honoraires par apport de dossier, et suivi des dossiers Pro Bono.</w:t>
            </w:r>
          </w:p>
        </w:tc>
      </w:tr>
      <w:tr>
        <w:tc>
          <w:tcPr>
            <w:tcW w:type="dxa" w:w="2268"/>
          </w:tcPr>
          <w:p>
            <w:r/>
            <w:r>
              <w:rPr>
                <w:sz w:val="19"/>
              </w:rPr>
              <w:t>Accès &amp; permissions</w:t>
            </w:r>
          </w:p>
        </w:tc>
        <w:tc>
          <w:tcPr>
            <w:tcW w:type="dxa" w:w="6803"/>
          </w:tcPr>
          <w:p>
            <w:r/>
            <w:r>
              <w:rPr>
                <w:sz w:val="19"/>
              </w:rPr>
              <w:t>Matrice d'accès aux informations sensibles, délégations temporaires, journal d'audit.</w:t>
            </w:r>
          </w:p>
        </w:tc>
      </w:tr>
      <w:tr>
        <w:tc>
          <w:tcPr>
            <w:tcW w:type="dxa" w:w="2268"/>
          </w:tcPr>
          <w:p>
            <w:r/>
            <w:r>
              <w:rPr>
                <w:sz w:val="19"/>
              </w:rPr>
              <w:t>Cabinet / RH</w:t>
            </w:r>
          </w:p>
        </w:tc>
        <w:tc>
          <w:tcPr>
            <w:tcW w:type="dxa" w:w="6803"/>
          </w:tcPr>
          <w:p>
            <w:r/>
            <w:r>
              <w:rPr>
                <w:sz w:val="19"/>
              </w:rPr>
              <w:t>Équipe et charge de travail, congés, alertes RH, pointage, compteur d'heures, option de paie légère.</w:t>
            </w:r>
          </w:p>
        </w:tc>
      </w:tr>
      <w:tr>
        <w:tc>
          <w:tcPr>
            <w:tcW w:type="dxa" w:w="2268"/>
          </w:tcPr>
          <w:p>
            <w:r/>
            <w:r>
              <w:rPr>
                <w:sz w:val="19"/>
              </w:rPr>
              <w:t>Assistant IA</w:t>
            </w:r>
          </w:p>
        </w:tc>
        <w:tc>
          <w:tcPr>
            <w:tcW w:type="dxa" w:w="6803"/>
          </w:tcPr>
          <w:p>
            <w:r/>
            <w:r>
              <w:rPr>
                <w:sz w:val="19"/>
              </w:rPr>
              <w:t>Catalogue des capacités d'assistance IA (résumé, extraction de faits, chronologie, analyse, traduction, comparaison).</w:t>
            </w:r>
          </w:p>
        </w:tc>
      </w:tr>
      <w:tr>
        <w:tc>
          <w:tcPr>
            <w:tcW w:type="dxa" w:w="2268"/>
          </w:tcPr>
          <w:p>
            <w:r/>
            <w:r>
              <w:rPr>
                <w:sz w:val="19"/>
              </w:rPr>
              <w:t>Portail client</w:t>
            </w:r>
          </w:p>
        </w:tc>
        <w:tc>
          <w:tcPr>
            <w:tcW w:type="dxa" w:w="6803"/>
          </w:tcPr>
          <w:p>
            <w:r/>
            <w:r>
              <w:rPr>
                <w:sz w:val="19"/>
              </w:rPr>
              <w:t>Aperçu de l'extranet client sécurisé (dossiers, factures, messagerie avec le cabinet).</w:t>
            </w:r>
          </w:p>
        </w:tc>
      </w:tr>
    </w:tbl>
    <w:p/>
    <w:p>
      <w:pPr>
        <w:pStyle w:val="Heading1"/>
      </w:pPr>
      <w:r>
        <w:t>3. Acteurs et rôles</w:t>
      </w:r>
    </w:p>
    <w:p>
      <w:r>
        <w:rPr>
          <w:b w:val="0"/>
          <w:i w:val="0"/>
          <w:sz w:val="21"/>
        </w:rPr>
        <w:t>Les rôles ci-dessous sont déduits du jeu de données de la démo (champ « role » des utilisateurs, qualités de rétrocession, matrice d'accès du module « Accès &amp; permissions ») et de la structure générale de l'application. Ils constituent la base du système de permissions à implémenter.</w:t>
      </w:r>
    </w:p>
    <w:tbl>
      <w:tblPr>
        <w:tblStyle w:val="TableGrid"/>
        <w:tblW w:type="auto" w:w="0"/>
        <w:jc w:val="center"/>
        <w:tblLook w:firstColumn="1" w:firstRow="1" w:lastColumn="0" w:lastRow="0" w:noHBand="0" w:noVBand="1" w:val="04A0"/>
      </w:tblPr>
      <w:tblGrid>
        <w:gridCol w:w="4873"/>
        <w:gridCol w:w="4873"/>
      </w:tblGrid>
      <w:tr>
        <w:tc>
          <w:tcPr>
            <w:tcW w:type="dxa" w:w="2268"/>
            <w:shd w:fill="1F2A44"/>
          </w:tcPr>
          <w:p>
            <w:r/>
            <w:r>
              <w:rPr>
                <w:b/>
                <w:color w:val="FFFFFF"/>
                <w:sz w:val="19"/>
              </w:rPr>
              <w:t>Rôle / Acteur</w:t>
            </w:r>
          </w:p>
        </w:tc>
        <w:tc>
          <w:tcPr>
            <w:tcW w:type="dxa" w:w="6803"/>
            <w:shd w:fill="1F2A44"/>
          </w:tcPr>
          <w:p>
            <w:r/>
            <w:r>
              <w:rPr>
                <w:b/>
                <w:color w:val="FFFFFF"/>
                <w:sz w:val="19"/>
              </w:rPr>
              <w:t>Description et périmètre d'accès</w:t>
            </w:r>
          </w:p>
        </w:tc>
      </w:tr>
      <w:tr>
        <w:tc>
          <w:tcPr>
            <w:tcW w:type="dxa" w:w="2268"/>
          </w:tcPr>
          <w:p>
            <w:r/>
            <w:r>
              <w:rPr>
                <w:sz w:val="19"/>
              </w:rPr>
              <w:t>Associé (Partner)</w:t>
            </w:r>
          </w:p>
        </w:tc>
        <w:tc>
          <w:tcPr>
            <w:tcW w:type="dxa" w:w="6803"/>
          </w:tcPr>
          <w:p>
            <w:r/>
            <w:r>
              <w:rPr>
                <w:sz w:val="19"/>
              </w:rPr>
              <w:t>Avocat associé du cabinet. Accès complet : rentabilité, marge du cabinet, rétrocessions, chiffre d'affaires, comptes bancaires. Décide seul en cas de conflit d'intérêts détecté à l'ouverture d'un dossier. Qualité de rétrocession « apporteur » à 30 %. Exemples dans la démo : Me Daou, Me Konaté.</w:t>
            </w:r>
          </w:p>
        </w:tc>
      </w:tr>
      <w:tr>
        <w:tc>
          <w:tcPr>
            <w:tcW w:type="dxa" w:w="2268"/>
          </w:tcPr>
          <w:p>
            <w:r/>
            <w:r>
              <w:rPr>
                <w:sz w:val="19"/>
              </w:rPr>
              <w:t>Of Counsel</w:t>
            </w:r>
          </w:p>
        </w:tc>
        <w:tc>
          <w:tcPr>
            <w:tcW w:type="dxa" w:w="6803"/>
          </w:tcPr>
          <w:p>
            <w:r/>
            <w:r>
              <w:rPr>
                <w:sz w:val="19"/>
              </w:rPr>
              <w:t>Avocat collaborateur senior rattaché au cabinet sans être associé. Peut être responsable de dossiers. Qualité de rétrocession à 25 % (comme collaborateur avocat / stagiaire). Exemple : Me Diawara.</w:t>
            </w:r>
          </w:p>
        </w:tc>
      </w:tr>
      <w:tr>
        <w:tc>
          <w:tcPr>
            <w:tcW w:type="dxa" w:w="2268"/>
          </w:tcPr>
          <w:p>
            <w:r/>
            <w:r>
              <w:rPr>
                <w:sz w:val="19"/>
              </w:rPr>
              <w:t>Collaborateur avocat</w:t>
            </w:r>
          </w:p>
        </w:tc>
        <w:tc>
          <w:tcPr>
            <w:tcW w:type="dxa" w:w="6803"/>
          </w:tcPr>
          <w:p>
            <w:r/>
            <w:r>
              <w:rPr>
                <w:sz w:val="19"/>
              </w:rPr>
              <w:t>Avocat salarié ou collaborateur libéral du cabinet, responsable de dossiers, saisit son temps, plaide. Qualité de rétrocession à 25 %.</w:t>
            </w:r>
          </w:p>
        </w:tc>
      </w:tr>
      <w:tr>
        <w:tc>
          <w:tcPr>
            <w:tcW w:type="dxa" w:w="2268"/>
          </w:tcPr>
          <w:p>
            <w:r/>
            <w:r>
              <w:rPr>
                <w:sz w:val="19"/>
              </w:rPr>
              <w:t>Avocat stagiaire</w:t>
            </w:r>
          </w:p>
        </w:tc>
        <w:tc>
          <w:tcPr>
            <w:tcW w:type="dxa" w:w="6803"/>
          </w:tcPr>
          <w:p>
            <w:r/>
            <w:r>
              <w:rPr>
                <w:sz w:val="19"/>
              </w:rPr>
              <w:t>Avocat en période de stage professionnel. Mêmes accès qu'un collaborateur avocat sur le fond, suivi RH spécifique (fin de période d'essai). Qualité de rétrocession à 25 % (regroupée avec collaborateur avocat / Of Counsel). Exemple : Awa Koné.</w:t>
            </w:r>
          </w:p>
        </w:tc>
      </w:tr>
      <w:tr>
        <w:tc>
          <w:tcPr>
            <w:tcW w:type="dxa" w:w="2268"/>
          </w:tcPr>
          <w:p>
            <w:r/>
            <w:r>
              <w:rPr>
                <w:sz w:val="19"/>
              </w:rPr>
              <w:t>Collaborateur non-avocat / Juriste</w:t>
            </w:r>
          </w:p>
        </w:tc>
        <w:tc>
          <w:tcPr>
            <w:tcW w:type="dxa" w:w="6803"/>
          </w:tcPr>
          <w:p>
            <w:r/>
            <w:r>
              <w:rPr>
                <w:sz w:val="19"/>
              </w:rPr>
              <w:t>Personnel juridique non-avocat (juriste, assistant juridique). Accès restreint aux informations sensibles (pas de vision sur la rentabilité, la marge ou le CA). Qualité de rétrocession à 10 %. Exemples : H. Nango, C. Dobion.</w:t>
            </w:r>
          </w:p>
        </w:tc>
      </w:tr>
      <w:tr>
        <w:tc>
          <w:tcPr>
            <w:tcW w:type="dxa" w:w="2268"/>
          </w:tcPr>
          <w:p>
            <w:r/>
            <w:r>
              <w:rPr>
                <w:sz w:val="19"/>
              </w:rPr>
              <w:t>Administrateur</w:t>
            </w:r>
          </w:p>
        </w:tc>
        <w:tc>
          <w:tcPr>
            <w:tcW w:type="dxa" w:w="6803"/>
          </w:tcPr>
          <w:p>
            <w:r/>
            <w:r>
              <w:rPr>
                <w:sz w:val="19"/>
              </w:rPr>
              <w:t>Personnel en charge de l'administratif du cabinet : échéances administratives (patente, cotisation Ordre, assurance RC), gestion des accès et délégations. Rôle « ADM » cité dans le module Échéancier.</w:t>
            </w:r>
          </w:p>
        </w:tc>
      </w:tr>
      <w:tr>
        <w:tc>
          <w:tcPr>
            <w:tcW w:type="dxa" w:w="2268"/>
          </w:tcPr>
          <w:p>
            <w:r/>
            <w:r>
              <w:rPr>
                <w:sz w:val="19"/>
              </w:rPr>
              <w:t>Comptable</w:t>
            </w:r>
          </w:p>
        </w:tc>
        <w:tc>
          <w:tcPr>
            <w:tcW w:type="dxa" w:w="6803"/>
          </w:tcPr>
          <w:p>
            <w:r/>
            <w:r>
              <w:rPr>
                <w:sz w:val="19"/>
              </w:rPr>
              <w:t>Responsable du suivi financier : validation et décaissement des dépenses, calcul et déclaration des obligations fiscales/sociales (TVA, INPS, ITS, IS), export des données de paie. JURIA alimente et exporte, le comptable calcule et déclare.</w:t>
            </w:r>
          </w:p>
        </w:tc>
      </w:tr>
      <w:tr>
        <w:tc>
          <w:tcPr>
            <w:tcW w:type="dxa" w:w="2268"/>
          </w:tcPr>
          <w:p>
            <w:r/>
            <w:r>
              <w:rPr>
                <w:sz w:val="19"/>
              </w:rPr>
              <w:t>Client (Portail)</w:t>
            </w:r>
          </w:p>
        </w:tc>
        <w:tc>
          <w:tcPr>
            <w:tcW w:type="dxa" w:w="6803"/>
          </w:tcPr>
          <w:p>
            <w:r/>
            <w:r>
              <w:rPr>
                <w:sz w:val="19"/>
              </w:rPr>
              <w:t>Utilisateur externe accédant à un espace extranet sécurisé restreint à ses propres dossiers, factures et à une messagerie avec le cabinet (module Portail client, phase 4).</w:t>
            </w:r>
          </w:p>
        </w:tc>
      </w:tr>
    </w:tbl>
    <w:p/>
    <w:p>
      <w:r>
        <w:rPr>
          <w:b w:val="0"/>
          <w:i w:val="0"/>
          <w:sz w:val="21"/>
        </w:rPr>
        <w:t>La matrice d'accès détaillée par type d'information (module « Accès &amp; permissions ») distingue trois niveaux fonctionnels : Collaborateur, Associé / Partner et Finance / Direction — voir section 4.14. Le passage d'un membre d'un rôle à un autre (ex. collaborateur devenu associé) doit faire évoluer automatiquement son périmètre d'accès.</w:t>
      </w:r>
    </w:p>
    <w:p>
      <w:r>
        <w:br w:type="page"/>
      </w:r>
    </w:p>
    <w:p>
      <w:pPr>
        <w:pStyle w:val="Heading1"/>
      </w:pPr>
      <w:r>
        <w:t>4. Spécifications détaillées par module</w:t>
      </w:r>
    </w:p>
    <w:p>
      <w:r>
        <w:rPr>
          <w:b w:val="0"/>
          <w:i w:val="0"/>
          <w:sz w:val="21"/>
        </w:rPr>
        <w:t>Chaque module est décrit selon la même grille de lecture : objectif métier, données/entités manipulées (avec exemples issus du jeu de données de la démo), fonctionnalités et actions utilisateur, règles de gestion, et indicateurs affichés le cas échéant. Sauf mention contraire, tous les écrans disposent des deux actions transverses décrites en section 6 : export Excel/CSV et impression/export PDF à en-tête du cabinet.</w:t>
      </w:r>
    </w:p>
    <w:p>
      <w:pPr>
        <w:pStyle w:val="Heading2"/>
      </w:pPr>
      <w:r>
        <w:t>4.1 Cockpit</w:t>
      </w:r>
    </w:p>
    <w:p>
      <w:pPr>
        <w:pStyle w:val="Heading3"/>
      </w:pPr>
      <w:r>
        <w:t>Objectif</w:t>
      </w:r>
    </w:p>
    <w:p>
      <w:r>
        <w:rPr>
          <w:b w:val="0"/>
          <w:i w:val="0"/>
          <w:sz w:val="21"/>
        </w:rPr>
        <w:t>Offrir à chaque utilisateur, dès la connexion, une vue d'ensemble synthétique de l'activité du cabinet et de sa charge personnelle, afin de piloter les priorités du jour.</w:t>
      </w:r>
    </w:p>
    <w:p>
      <w:pPr>
        <w:pStyle w:val="Heading3"/>
      </w:pPr>
      <w:r>
        <w:t>Données et entités</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Indicateur</w:t>
            </w:r>
          </w:p>
        </w:tc>
        <w:tc>
          <w:tcPr>
            <w:tcW w:type="dxa" w:w="3685"/>
            <w:shd w:fill="1F2A44"/>
          </w:tcPr>
          <w:p>
            <w:r/>
            <w:r>
              <w:rPr>
                <w:b/>
                <w:color w:val="FFFFFF"/>
                <w:sz w:val="19"/>
              </w:rPr>
              <w:t>Mode de calcul</w:t>
            </w:r>
          </w:p>
        </w:tc>
        <w:tc>
          <w:tcPr>
            <w:tcW w:type="dxa" w:w="2835"/>
            <w:shd w:fill="1F2A44"/>
          </w:tcPr>
          <w:p>
            <w:r/>
            <w:r>
              <w:rPr>
                <w:b/>
                <w:color w:val="FFFFFF"/>
                <w:sz w:val="19"/>
              </w:rPr>
              <w:t>Exemple</w:t>
            </w:r>
          </w:p>
        </w:tc>
      </w:tr>
      <w:tr>
        <w:tc>
          <w:tcPr>
            <w:tcW w:type="dxa" w:w="2551"/>
          </w:tcPr>
          <w:p>
            <w:r/>
            <w:r>
              <w:rPr>
                <w:sz w:val="19"/>
              </w:rPr>
              <w:t>Dossiers actifs</w:t>
            </w:r>
          </w:p>
        </w:tc>
        <w:tc>
          <w:tcPr>
            <w:tcW w:type="dxa" w:w="3685"/>
          </w:tcPr>
          <w:p>
            <w:r/>
            <w:r>
              <w:rPr>
                <w:sz w:val="19"/>
              </w:rPr>
              <w:t>Nombre total de dossiers</w:t>
            </w:r>
          </w:p>
        </w:tc>
        <w:tc>
          <w:tcPr>
            <w:tcW w:type="dxa" w:w="2835"/>
          </w:tcPr>
          <w:p>
            <w:r/>
            <w:r>
              <w:rPr>
                <w:sz w:val="19"/>
              </w:rPr>
              <w:t>5</w:t>
            </w:r>
          </w:p>
        </w:tc>
      </w:tr>
      <w:tr>
        <w:tc>
          <w:tcPr>
            <w:tcW w:type="dxa" w:w="2551"/>
          </w:tcPr>
          <w:p>
            <w:r/>
            <w:r>
              <w:rPr>
                <w:sz w:val="19"/>
              </w:rPr>
              <w:t>Dossiers urgents</w:t>
            </w:r>
          </w:p>
        </w:tc>
        <w:tc>
          <w:tcPr>
            <w:tcW w:type="dxa" w:w="3685"/>
          </w:tcPr>
          <w:p>
            <w:r/>
            <w:r>
              <w:rPr>
                <w:sz w:val="19"/>
              </w:rPr>
              <w:t>Dossiers dont l'urgence = « haute »</w:t>
            </w:r>
          </w:p>
        </w:tc>
        <w:tc>
          <w:tcPr>
            <w:tcW w:type="dxa" w:w="2835"/>
          </w:tcPr>
          <w:p>
            <w:r/>
            <w:r>
              <w:rPr>
                <w:sz w:val="19"/>
              </w:rPr>
              <w:t>1</w:t>
            </w:r>
          </w:p>
        </w:tc>
      </w:tr>
      <w:tr>
        <w:tc>
          <w:tcPr>
            <w:tcW w:type="dxa" w:w="2551"/>
          </w:tcPr>
          <w:p>
            <w:r/>
            <w:r>
              <w:rPr>
                <w:sz w:val="19"/>
              </w:rPr>
              <w:t>Délais à venir</w:t>
            </w:r>
          </w:p>
        </w:tc>
        <w:tc>
          <w:tcPr>
            <w:tcW w:type="dxa" w:w="3685"/>
          </w:tcPr>
          <w:p>
            <w:r/>
            <w:r>
              <w:rPr>
                <w:sz w:val="19"/>
              </w:rPr>
              <w:t>Nombre d'événements/délais enregistrés</w:t>
            </w:r>
          </w:p>
        </w:tc>
        <w:tc>
          <w:tcPr>
            <w:tcW w:type="dxa" w:w="2835"/>
          </w:tcPr>
          <w:p>
            <w:r/>
            <w:r>
              <w:rPr>
                <w:sz w:val="19"/>
              </w:rPr>
              <w:t>4</w:t>
            </w:r>
          </w:p>
        </w:tc>
      </w:tr>
      <w:tr>
        <w:tc>
          <w:tcPr>
            <w:tcW w:type="dxa" w:w="2551"/>
          </w:tcPr>
          <w:p>
            <w:r/>
            <w:r>
              <w:rPr>
                <w:sz w:val="19"/>
              </w:rPr>
              <w:t>Impayés (FCFA)</w:t>
            </w:r>
          </w:p>
        </w:tc>
        <w:tc>
          <w:tcPr>
            <w:tcW w:type="dxa" w:w="3685"/>
          </w:tcPr>
          <w:p>
            <w:r/>
            <w:r>
              <w:rPr>
                <w:sz w:val="19"/>
              </w:rPr>
              <w:t>Somme des factures dont le statut ≠ « payée »</w:t>
            </w:r>
          </w:p>
        </w:tc>
        <w:tc>
          <w:tcPr>
            <w:tcW w:type="dxa" w:w="2835"/>
          </w:tcPr>
          <w:p>
            <w:r/>
            <w:r>
              <w:rPr>
                <w:sz w:val="19"/>
              </w:rPr>
              <w:t>somme des TTC dus</w:t>
            </w:r>
          </w:p>
        </w:tc>
      </w:tr>
      <w:tr>
        <w:tc>
          <w:tcPr>
            <w:tcW w:type="dxa" w:w="2551"/>
          </w:tcPr>
          <w:p>
            <w:r/>
            <w:r>
              <w:rPr>
                <w:sz w:val="19"/>
              </w:rPr>
              <w:t>Heures (mois)</w:t>
            </w:r>
          </w:p>
        </w:tc>
        <w:tc>
          <w:tcPr>
            <w:tcW w:type="dxa" w:w="3685"/>
          </w:tcPr>
          <w:p>
            <w:r/>
            <w:r>
              <w:rPr>
                <w:sz w:val="19"/>
              </w:rPr>
              <w:t>Somme des heures saisies par tous les avocats</w:t>
            </w:r>
          </w:p>
        </w:tc>
        <w:tc>
          <w:tcPr>
            <w:tcW w:type="dxa" w:w="2835"/>
          </w:tcPr>
          <w:p>
            <w:r/>
            <w:r>
              <w:rPr>
                <w:sz w:val="19"/>
              </w:rPr>
              <w:t>125 h</w:t>
            </w:r>
          </w:p>
        </w:tc>
      </w:tr>
    </w:tbl>
    <w:p/>
    <w:p>
      <w:pPr>
        <w:pStyle w:val="Heading3"/>
      </w:pPr>
      <w:r>
        <w:t>Fonctionnalités et actions utilisateur</w:t>
      </w:r>
    </w:p>
    <w:p>
      <w:pPr>
        <w:pStyle w:val="ListBullet"/>
      </w:pPr>
      <w:r>
        <w:rPr>
          <w:sz w:val="21"/>
        </w:rPr>
        <w:t>Panneau « Délais critiques à venir » : dossier, type de délai, date d'échéance, badge d'alerte, trié du plus urgent au moins urgent.</w:t>
      </w:r>
    </w:p>
    <w:p>
      <w:pPr>
        <w:pStyle w:val="ListBullet"/>
      </w:pPr>
      <w:r>
        <w:rPr>
          <w:sz w:val="21"/>
        </w:rPr>
        <w:t>Graphique en barres du temps facturable par avocat sur le mois (les stagiaires apparaissent en opacité réduite).</w:t>
      </w:r>
    </w:p>
    <w:p>
      <w:pPr>
        <w:pStyle w:val="ListBullet"/>
      </w:pPr>
      <w:r>
        <w:rPr>
          <w:sz w:val="21"/>
        </w:rPr>
        <w:t>Panneau « Rentabilité par dossier » : dossiers triés par marge décroissante, avec code couleur.</w:t>
      </w:r>
    </w:p>
    <w:p>
      <w:pPr>
        <w:pStyle w:val="ListBullet"/>
      </w:pPr>
      <w:r>
        <w:rPr>
          <w:sz w:val="21"/>
        </w:rPr>
        <w:t>Panneau « Mes tâches » : tâches personnelles non terminées, avec statut.</w:t>
      </w:r>
    </w:p>
    <w:p>
      <w:pPr>
        <w:pStyle w:val="Heading3"/>
      </w:pPr>
      <w:r>
        <w:t>Règles de gestion</w:t>
      </w:r>
    </w:p>
    <w:p>
      <w:pPr>
        <w:pStyle w:val="ListBullet"/>
      </w:pPr>
      <w:r>
        <w:rPr>
          <w:sz w:val="21"/>
        </w:rPr>
        <w:t>Badge d'alerte de délai : rouge si J-7 ou moins, orange si J-15 ou moins, bleu au-delà (règle transverse, voir section 6).</w:t>
      </w:r>
    </w:p>
    <w:p>
      <w:pPr>
        <w:pStyle w:val="ListBullet"/>
      </w:pPr>
      <w:r>
        <w:rPr>
          <w:sz w:val="21"/>
        </w:rPr>
        <w:t>Couleur de marge : vert si marge ≥ 20 %, orange si marge comprise entre 0 et 20 %, rouge si marge négative.</w:t>
      </w:r>
    </w:p>
    <w:p>
      <w:pPr>
        <w:pStyle w:val="Heading3"/>
      </w:pPr>
      <w:r>
        <w:t>Indicateurs (KPIs)</w:t>
      </w:r>
    </w:p>
    <w:p>
      <w:pPr>
        <w:pStyle w:val="ListBullet"/>
      </w:pPr>
      <w:r>
        <w:rPr>
          <w:sz w:val="21"/>
        </w:rPr>
        <w:t>Dossiers actifs</w:t>
      </w:r>
    </w:p>
    <w:p>
      <w:pPr>
        <w:pStyle w:val="ListBullet"/>
      </w:pPr>
      <w:r>
        <w:rPr>
          <w:sz w:val="21"/>
        </w:rPr>
        <w:t>Dossiers urgents</w:t>
      </w:r>
    </w:p>
    <w:p>
      <w:pPr>
        <w:pStyle w:val="ListBullet"/>
      </w:pPr>
      <w:r>
        <w:rPr>
          <w:sz w:val="21"/>
        </w:rPr>
        <w:t>Délais à venir</w:t>
      </w:r>
    </w:p>
    <w:p>
      <w:pPr>
        <w:pStyle w:val="ListBullet"/>
      </w:pPr>
      <w:r>
        <w:rPr>
          <w:sz w:val="21"/>
        </w:rPr>
        <w:t>Impayés (FCFA)</w:t>
      </w:r>
    </w:p>
    <w:p>
      <w:pPr>
        <w:pStyle w:val="ListBullet"/>
      </w:pPr>
      <w:r>
        <w:rPr>
          <w:sz w:val="21"/>
        </w:rPr>
        <w:t>Heures (mois)</w:t>
      </w:r>
    </w:p>
    <w:p>
      <w:pPr>
        <w:pStyle w:val="Heading2"/>
      </w:pPr>
      <w:r>
        <w:t>4.2 Dossiers 360</w:t>
      </w:r>
    </w:p>
    <w:p>
      <w:pPr>
        <w:pStyle w:val="Heading3"/>
      </w:pPr>
      <w:r>
        <w:t>Objectif</w:t>
      </w:r>
    </w:p>
    <w:p>
      <w:r>
        <w:rPr>
          <w:b w:val="0"/>
          <w:i w:val="0"/>
          <w:sz w:val="21"/>
        </w:rPr>
        <w:t>Donner accès à la liste de tous les dossiers du cabinet et, pour chacun, à une fiche complète à 360° regroupant toutes les informations et l'historique du dossier (parties, délais, pièces, temps passé, communications, dossiers liés, instances de procédure).</w:t>
      </w:r>
    </w:p>
    <w:p>
      <w:pPr>
        <w:pStyle w:val="Heading3"/>
      </w:pPr>
      <w:r>
        <w:t>Données et entités</w:t>
      </w:r>
    </w:p>
    <w:p>
      <w:r>
        <w:rPr>
          <w:b/>
          <w:color w:val="1F2A44"/>
          <w:sz w:val="21"/>
        </w:rPr>
        <w:t>Dossier (liste)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numero</w:t>
            </w:r>
          </w:p>
        </w:tc>
        <w:tc>
          <w:tcPr>
            <w:tcW w:type="dxa" w:w="3685"/>
          </w:tcPr>
          <w:p>
            <w:r/>
            <w:r>
              <w:rPr>
                <w:sz w:val="19"/>
              </w:rPr>
              <w:t>Référence unique auto-générée (type-matière-année-séquence)</w:t>
            </w:r>
          </w:p>
        </w:tc>
        <w:tc>
          <w:tcPr>
            <w:tcW w:type="dxa" w:w="2835"/>
          </w:tcPr>
          <w:p>
            <w:r/>
            <w:r>
              <w:rPr>
                <w:sz w:val="19"/>
              </w:rPr>
              <w:t>AFF-26-018</w:t>
            </w:r>
          </w:p>
        </w:tc>
      </w:tr>
      <w:tr>
        <w:tc>
          <w:tcPr>
            <w:tcW w:type="dxa" w:w="2551"/>
          </w:tcPr>
          <w:p>
            <w:r/>
            <w:r>
              <w:rPr>
                <w:sz w:val="19"/>
              </w:rPr>
              <w:t>intitule</w:t>
            </w:r>
          </w:p>
        </w:tc>
        <w:tc>
          <w:tcPr>
            <w:tcW w:type="dxa" w:w="3685"/>
          </w:tcPr>
          <w:p>
            <w:r/>
            <w:r>
              <w:rPr>
                <w:sz w:val="19"/>
              </w:rPr>
              <w:t>Intitulé du dossier</w:t>
            </w:r>
          </w:p>
        </w:tc>
        <w:tc>
          <w:tcPr>
            <w:tcW w:type="dxa" w:w="2835"/>
          </w:tcPr>
          <w:p>
            <w:r/>
            <w:r>
              <w:rPr>
                <w:sz w:val="19"/>
              </w:rPr>
              <w:t>SODIMA c/ Bâtir-SA</w:t>
            </w:r>
          </w:p>
        </w:tc>
      </w:tr>
      <w:tr>
        <w:tc>
          <w:tcPr>
            <w:tcW w:type="dxa" w:w="2551"/>
          </w:tcPr>
          <w:p>
            <w:r/>
            <w:r>
              <w:rPr>
                <w:sz w:val="19"/>
              </w:rPr>
              <w:t>client</w:t>
            </w:r>
          </w:p>
        </w:tc>
        <w:tc>
          <w:tcPr>
            <w:tcW w:type="dxa" w:w="3685"/>
          </w:tcPr>
          <w:p>
            <w:r/>
            <w:r>
              <w:rPr>
                <w:sz w:val="19"/>
              </w:rPr>
              <w:t>Client titulaire du dossier</w:t>
            </w:r>
          </w:p>
        </w:tc>
        <w:tc>
          <w:tcPr>
            <w:tcW w:type="dxa" w:w="2835"/>
          </w:tcPr>
          <w:p>
            <w:r/>
            <w:r>
              <w:rPr>
                <w:sz w:val="19"/>
              </w:rPr>
              <w:t>SODIMA Sarl</w:t>
            </w:r>
          </w:p>
        </w:tc>
      </w:tr>
      <w:tr>
        <w:tc>
          <w:tcPr>
            <w:tcW w:type="dxa" w:w="2551"/>
          </w:tcPr>
          <w:p>
            <w:r/>
            <w:r>
              <w:rPr>
                <w:sz w:val="19"/>
              </w:rPr>
              <w:t>responsable</w:t>
            </w:r>
          </w:p>
        </w:tc>
        <w:tc>
          <w:tcPr>
            <w:tcW w:type="dxa" w:w="3685"/>
          </w:tcPr>
          <w:p>
            <w:r/>
            <w:r>
              <w:rPr>
                <w:sz w:val="19"/>
              </w:rPr>
              <w:t>Avocat responsable</w:t>
            </w:r>
          </w:p>
        </w:tc>
        <w:tc>
          <w:tcPr>
            <w:tcW w:type="dxa" w:w="2835"/>
          </w:tcPr>
          <w:p>
            <w:r/>
            <w:r>
              <w:rPr>
                <w:sz w:val="19"/>
              </w:rPr>
              <w:t>Me Daou</w:t>
            </w:r>
          </w:p>
        </w:tc>
      </w:tr>
      <w:tr>
        <w:tc>
          <w:tcPr>
            <w:tcW w:type="dxa" w:w="2551"/>
          </w:tcPr>
          <w:p>
            <w:r/>
            <w:r>
              <w:rPr>
                <w:sz w:val="19"/>
              </w:rPr>
              <w:t>matiere</w:t>
            </w:r>
          </w:p>
        </w:tc>
        <w:tc>
          <w:tcPr>
            <w:tcW w:type="dxa" w:w="3685"/>
          </w:tcPr>
          <w:p>
            <w:r/>
            <w:r>
              <w:rPr>
                <w:sz w:val="19"/>
              </w:rPr>
              <w:t>Matière juridique</w:t>
            </w:r>
          </w:p>
        </w:tc>
        <w:tc>
          <w:tcPr>
            <w:tcW w:type="dxa" w:w="2835"/>
          </w:tcPr>
          <w:p>
            <w:r/>
            <w:r>
              <w:rPr>
                <w:sz w:val="19"/>
              </w:rPr>
              <w:t>Droit OHADA</w:t>
            </w:r>
          </w:p>
        </w:tc>
      </w:tr>
      <w:tr>
        <w:tc>
          <w:tcPr>
            <w:tcW w:type="dxa" w:w="2551"/>
          </w:tcPr>
          <w:p>
            <w:r/>
            <w:r>
              <w:rPr>
                <w:sz w:val="19"/>
              </w:rPr>
              <w:t>juridiction</w:t>
            </w:r>
          </w:p>
        </w:tc>
        <w:tc>
          <w:tcPr>
            <w:tcW w:type="dxa" w:w="3685"/>
          </w:tcPr>
          <w:p>
            <w:r/>
            <w:r>
              <w:rPr>
                <w:sz w:val="19"/>
              </w:rPr>
              <w:t>Juridiction saisie</w:t>
            </w:r>
          </w:p>
        </w:tc>
        <w:tc>
          <w:tcPr>
            <w:tcW w:type="dxa" w:w="2835"/>
          </w:tcPr>
          <w:p>
            <w:r/>
            <w:r>
              <w:rPr>
                <w:sz w:val="19"/>
              </w:rPr>
              <w:t>Trib. Commerce Bamako</w:t>
            </w:r>
          </w:p>
        </w:tc>
      </w:tr>
      <w:tr>
        <w:tc>
          <w:tcPr>
            <w:tcW w:type="dxa" w:w="2551"/>
          </w:tcPr>
          <w:p>
            <w:r/>
            <w:r>
              <w:rPr>
                <w:sz w:val="19"/>
              </w:rPr>
              <w:t>objet</w:t>
            </w:r>
          </w:p>
        </w:tc>
        <w:tc>
          <w:tcPr>
            <w:tcW w:type="dxa" w:w="3685"/>
          </w:tcPr>
          <w:p>
            <w:r/>
            <w:r>
              <w:rPr>
                <w:sz w:val="19"/>
              </w:rPr>
              <w:t>Objet du litige / de la demande</w:t>
            </w:r>
          </w:p>
        </w:tc>
        <w:tc>
          <w:tcPr>
            <w:tcW w:type="dxa" w:w="2835"/>
          </w:tcPr>
          <w:p>
            <w:r/>
            <w:r>
              <w:rPr>
                <w:sz w:val="19"/>
              </w:rPr>
              <w:t>Recouvrement d'une créance impayée — 52 M FCFA</w:t>
            </w:r>
          </w:p>
        </w:tc>
      </w:tr>
      <w:tr>
        <w:tc>
          <w:tcPr>
            <w:tcW w:type="dxa" w:w="2551"/>
          </w:tcPr>
          <w:p>
            <w:r/>
            <w:r>
              <w:rPr>
                <w:sz w:val="19"/>
              </w:rPr>
              <w:t>montant</w:t>
            </w:r>
          </w:p>
        </w:tc>
        <w:tc>
          <w:tcPr>
            <w:tcW w:type="dxa" w:w="3685"/>
          </w:tcPr>
          <w:p>
            <w:r/>
            <w:r>
              <w:rPr>
                <w:sz w:val="19"/>
              </w:rPr>
              <w:t>Enjeu financier (FCFA)</w:t>
            </w:r>
          </w:p>
        </w:tc>
        <w:tc>
          <w:tcPr>
            <w:tcW w:type="dxa" w:w="2835"/>
          </w:tcPr>
          <w:p>
            <w:r/>
            <w:r>
              <w:rPr>
                <w:sz w:val="19"/>
              </w:rPr>
              <w:t>52 000 000</w:t>
            </w:r>
          </w:p>
        </w:tc>
      </w:tr>
      <w:tr>
        <w:tc>
          <w:tcPr>
            <w:tcW w:type="dxa" w:w="2551"/>
          </w:tcPr>
          <w:p>
            <w:r/>
            <w:r>
              <w:rPr>
                <w:sz w:val="19"/>
              </w:rPr>
              <w:t>mode / honoraires</w:t>
            </w:r>
          </w:p>
        </w:tc>
        <w:tc>
          <w:tcPr>
            <w:tcW w:type="dxa" w:w="3685"/>
          </w:tcPr>
          <w:p>
            <w:r/>
            <w:r>
              <w:rPr>
                <w:sz w:val="19"/>
              </w:rPr>
              <w:t>Mode de facturation retenu</w:t>
            </w:r>
          </w:p>
        </w:tc>
        <w:tc>
          <w:tcPr>
            <w:tcW w:type="dxa" w:w="2835"/>
          </w:tcPr>
          <w:p>
            <w:r/>
            <w:r>
              <w:rPr>
                <w:sz w:val="19"/>
              </w:rPr>
              <w:t>Success fee 8 %</w:t>
            </w:r>
          </w:p>
        </w:tc>
      </w:tr>
      <w:tr>
        <w:tc>
          <w:tcPr>
            <w:tcW w:type="dxa" w:w="2551"/>
          </w:tcPr>
          <w:p>
            <w:r/>
            <w:r>
              <w:rPr>
                <w:sz w:val="19"/>
              </w:rPr>
              <w:t>marge</w:t>
            </w:r>
          </w:p>
        </w:tc>
        <w:tc>
          <w:tcPr>
            <w:tcW w:type="dxa" w:w="3685"/>
          </w:tcPr>
          <w:p>
            <w:r/>
            <w:r>
              <w:rPr>
                <w:sz w:val="19"/>
              </w:rPr>
              <w:t>Marge estimée du dossier (%)</w:t>
            </w:r>
          </w:p>
        </w:tc>
        <w:tc>
          <w:tcPr>
            <w:tcW w:type="dxa" w:w="2835"/>
          </w:tcPr>
          <w:p>
            <w:r/>
            <w:r>
              <w:rPr>
                <w:sz w:val="19"/>
              </w:rPr>
              <w:t>12 %</w:t>
            </w:r>
          </w:p>
        </w:tc>
      </w:tr>
      <w:tr>
        <w:tc>
          <w:tcPr>
            <w:tcW w:type="dxa" w:w="2551"/>
          </w:tcPr>
          <w:p>
            <w:r/>
            <w:r>
              <w:rPr>
                <w:sz w:val="19"/>
              </w:rPr>
              <w:t>phase</w:t>
            </w:r>
          </w:p>
        </w:tc>
        <w:tc>
          <w:tcPr>
            <w:tcW w:type="dxa" w:w="3685"/>
          </w:tcPr>
          <w:p>
            <w:r/>
            <w:r>
              <w:rPr>
                <w:sz w:val="19"/>
              </w:rPr>
              <w:t>Étape courante du dossier</w:t>
            </w:r>
          </w:p>
        </w:tc>
        <w:tc>
          <w:tcPr>
            <w:tcW w:type="dxa" w:w="2835"/>
          </w:tcPr>
          <w:p>
            <w:r/>
            <w:r>
              <w:rPr>
                <w:sz w:val="19"/>
              </w:rPr>
              <w:t>Recours / Mise en état / Décision / Conseil / Ouverture</w:t>
            </w:r>
          </w:p>
        </w:tc>
      </w:tr>
      <w:tr>
        <w:tc>
          <w:tcPr>
            <w:tcW w:type="dxa" w:w="2551"/>
          </w:tcPr>
          <w:p>
            <w:r/>
            <w:r>
              <w:rPr>
                <w:sz w:val="19"/>
              </w:rPr>
              <w:t>urgence</w:t>
            </w:r>
          </w:p>
        </w:tc>
        <w:tc>
          <w:tcPr>
            <w:tcW w:type="dxa" w:w="3685"/>
          </w:tcPr>
          <w:p>
            <w:r/>
            <w:r>
              <w:rPr>
                <w:sz w:val="19"/>
              </w:rPr>
              <w:t>Niveau d'urgence</w:t>
            </w:r>
          </w:p>
        </w:tc>
        <w:tc>
          <w:tcPr>
            <w:tcW w:type="dxa" w:w="2835"/>
          </w:tcPr>
          <w:p>
            <w:r/>
            <w:r>
              <w:rPr>
                <w:sz w:val="19"/>
              </w:rPr>
              <w:t>haute / moyenne / basse</w:t>
            </w:r>
          </w:p>
        </w:tc>
      </w:tr>
    </w:tbl>
    <w:p/>
    <w:p>
      <w:r>
        <w:rPr>
          <w:b/>
          <w:color w:val="1F2A44"/>
          <w:sz w:val="21"/>
        </w:rPr>
        <w:t>Fiche dossier — sous-entités</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Sous-entité</w:t>
            </w:r>
          </w:p>
        </w:tc>
        <w:tc>
          <w:tcPr>
            <w:tcW w:type="dxa" w:w="3685"/>
            <w:shd w:fill="1F2A44"/>
          </w:tcPr>
          <w:p>
            <w:r/>
            <w:r>
              <w:rPr>
                <w:b/>
                <w:color w:val="FFFFFF"/>
                <w:sz w:val="19"/>
              </w:rPr>
              <w:t>Champs</w:t>
            </w:r>
          </w:p>
        </w:tc>
        <w:tc>
          <w:tcPr>
            <w:tcW w:type="dxa" w:w="2835"/>
            <w:shd w:fill="1F2A44"/>
          </w:tcPr>
          <w:p>
            <w:r/>
            <w:r>
              <w:rPr>
                <w:b/>
                <w:color w:val="FFFFFF"/>
                <w:sz w:val="19"/>
              </w:rPr>
              <w:t>Exemple</w:t>
            </w:r>
          </w:p>
        </w:tc>
      </w:tr>
      <w:tr>
        <w:tc>
          <w:tcPr>
            <w:tcW w:type="dxa" w:w="2551"/>
          </w:tcPr>
          <w:p>
            <w:r/>
            <w:r>
              <w:rPr>
                <w:sz w:val="19"/>
              </w:rPr>
              <w:t>Parties</w:t>
            </w:r>
          </w:p>
        </w:tc>
        <w:tc>
          <w:tcPr>
            <w:tcW w:type="dxa" w:w="3685"/>
          </w:tcPr>
          <w:p>
            <w:r/>
            <w:r>
              <w:rPr>
                <w:sz w:val="19"/>
              </w:rPr>
              <w:t>role (adverse…), nom, conseil</w:t>
            </w:r>
          </w:p>
        </w:tc>
        <w:tc>
          <w:tcPr>
            <w:tcW w:type="dxa" w:w="2835"/>
          </w:tcPr>
          <w:p>
            <w:r/>
            <w:r>
              <w:rPr>
                <w:sz w:val="19"/>
              </w:rPr>
              <w:t>Bâtir-SA — Cabinet X</w:t>
            </w:r>
          </w:p>
        </w:tc>
      </w:tr>
      <w:tr>
        <w:tc>
          <w:tcPr>
            <w:tcW w:type="dxa" w:w="2551"/>
          </w:tcPr>
          <w:p>
            <w:r/>
            <w:r>
              <w:rPr>
                <w:sz w:val="19"/>
              </w:rPr>
              <w:t>Instances</w:t>
            </w:r>
          </w:p>
        </w:tc>
        <w:tc>
          <w:tcPr>
            <w:tcW w:type="dxa" w:w="3685"/>
          </w:tcPr>
          <w:p>
            <w:r/>
            <w:r>
              <w:rPr>
                <w:sz w:val="19"/>
              </w:rPr>
              <w:t>degré, juridiction, n° de rôle (RG), état</w:t>
            </w:r>
          </w:p>
        </w:tc>
        <w:tc>
          <w:tcPr>
            <w:tcW w:type="dxa" w:w="2835"/>
          </w:tcPr>
          <w:p>
            <w:r/>
            <w:r>
              <w:rPr>
                <w:sz w:val="19"/>
              </w:rPr>
              <w:t>Appel — Cour d'appel de Bamako — RG 077/2026 — En cours</w:t>
            </w:r>
          </w:p>
        </w:tc>
      </w:tr>
      <w:tr>
        <w:tc>
          <w:tcPr>
            <w:tcW w:type="dxa" w:w="2551"/>
          </w:tcPr>
          <w:p>
            <w:r/>
            <w:r>
              <w:rPr>
                <w:sz w:val="19"/>
              </w:rPr>
              <w:t>Dossiers liés / Affaire</w:t>
            </w:r>
          </w:p>
        </w:tc>
        <w:tc>
          <w:tcPr>
            <w:tcW w:type="dxa" w:w="3685"/>
          </w:tcPr>
          <w:p>
            <w:r/>
            <w:r>
              <w:rPr>
                <w:sz w:val="19"/>
              </w:rPr>
              <w:t>référence liée, intitulé, type de lien</w:t>
            </w:r>
          </w:p>
        </w:tc>
        <w:tc>
          <w:tcPr>
            <w:tcW w:type="dxa" w:w="2835"/>
          </w:tcPr>
          <w:p>
            <w:r/>
            <w:r>
              <w:rPr>
                <w:sz w:val="19"/>
              </w:rPr>
              <w:t>CS-COM-2026-0007 — conseil bail commercial</w:t>
            </w:r>
          </w:p>
        </w:tc>
      </w:tr>
      <w:tr>
        <w:tc>
          <w:tcPr>
            <w:tcW w:type="dxa" w:w="2551"/>
          </w:tcPr>
          <w:p>
            <w:r/>
            <w:r>
              <w:rPr>
                <w:sz w:val="19"/>
              </w:rPr>
              <w:t>Délais &amp; audiences</w:t>
            </w:r>
          </w:p>
        </w:tc>
        <w:tc>
          <w:tcPr>
            <w:tcW w:type="dxa" w:w="3685"/>
          </w:tcPr>
          <w:p>
            <w:r/>
            <w:r>
              <w:rPr>
                <w:sz w:val="19"/>
              </w:rPr>
              <w:t>type, titre, échéance (jours), alerte</w:t>
            </w:r>
          </w:p>
        </w:tc>
        <w:tc>
          <w:tcPr>
            <w:tcW w:type="dxa" w:w="2835"/>
          </w:tcPr>
          <w:p>
            <w:r/>
            <w:r>
              <w:rPr>
                <w:sz w:val="19"/>
              </w:rPr>
              <w:t>Délai d'appel — J-2</w:t>
            </w:r>
          </w:p>
        </w:tc>
      </w:tr>
      <w:tr>
        <w:tc>
          <w:tcPr>
            <w:tcW w:type="dxa" w:w="2551"/>
          </w:tcPr>
          <w:p>
            <w:r/>
            <w:r>
              <w:rPr>
                <w:sz w:val="19"/>
              </w:rPr>
              <w:t>Pièces (GED)</w:t>
            </w:r>
          </w:p>
        </w:tc>
        <w:tc>
          <w:tcPr>
            <w:tcW w:type="dxa" w:w="3685"/>
          </w:tcPr>
          <w:p>
            <w:r/>
            <w:r>
              <w:rPr>
                <w:sz w:val="19"/>
              </w:rPr>
              <w:t>nom, catégorie, version, statut</w:t>
            </w:r>
          </w:p>
        </w:tc>
        <w:tc>
          <w:tcPr>
            <w:tcW w:type="dxa" w:w="2835"/>
          </w:tcPr>
          <w:p>
            <w:r/>
            <w:r>
              <w:rPr>
                <w:sz w:val="19"/>
              </w:rPr>
              <w:t>Conclusions_appel_v2.docx — v2 — Brouillon</w:t>
            </w:r>
          </w:p>
        </w:tc>
      </w:tr>
      <w:tr>
        <w:tc>
          <w:tcPr>
            <w:tcW w:type="dxa" w:w="2551"/>
          </w:tcPr>
          <w:p>
            <w:r/>
            <w:r>
              <w:rPr>
                <w:sz w:val="19"/>
              </w:rPr>
              <w:t>Temps passé</w:t>
            </w:r>
          </w:p>
        </w:tc>
        <w:tc>
          <w:tcPr>
            <w:tcW w:type="dxa" w:w="3685"/>
          </w:tcPr>
          <w:p>
            <w:r/>
            <w:r>
              <w:rPr>
                <w:sz w:val="19"/>
              </w:rPr>
              <w:t>date, durée (min), description</w:t>
            </w:r>
          </w:p>
        </w:tc>
        <w:tc>
          <w:tcPr>
            <w:tcW w:type="dxa" w:w="2835"/>
          </w:tcPr>
          <w:p>
            <w:r/>
            <w:r>
              <w:rPr>
                <w:sz w:val="19"/>
              </w:rPr>
              <w:t>90 min — Rédaction conclusions</w:t>
            </w:r>
          </w:p>
        </w:tc>
      </w:tr>
      <w:tr>
        <w:tc>
          <w:tcPr>
            <w:tcW w:type="dxa" w:w="2551"/>
          </w:tcPr>
          <w:p>
            <w:r/>
            <w:r>
              <w:rPr>
                <w:sz w:val="19"/>
              </w:rPr>
              <w:t>Communications</w:t>
            </w:r>
          </w:p>
        </w:tc>
        <w:tc>
          <w:tcPr>
            <w:tcW w:type="dxa" w:w="3685"/>
          </w:tcPr>
          <w:p>
            <w:r/>
            <w:r>
              <w:rPr>
                <w:sz w:val="19"/>
              </w:rPr>
              <w:t>date, type (email/appel/whatsapp/réunion/courrier/note), sujet, résumé</w:t>
            </w:r>
          </w:p>
        </w:tc>
        <w:tc>
          <w:tcPr>
            <w:tcW w:type="dxa" w:w="2835"/>
          </w:tcPr>
          <w:p>
            <w:r/>
            <w:r>
              <w:rPr>
                <w:sz w:val="19"/>
              </w:rPr>
              <w:t>Accord pour interjeter appel</w:t>
            </w:r>
          </w:p>
        </w:tc>
      </w:tr>
    </w:tbl>
    <w:p/>
    <w:p>
      <w:pPr>
        <w:pStyle w:val="Heading3"/>
      </w:pPr>
      <w:r>
        <w:t>Fonctionnalités et actions utilisateur</w:t>
      </w:r>
    </w:p>
    <w:p>
      <w:pPr>
        <w:pStyle w:val="ListBullet"/>
      </w:pPr>
      <w:r>
        <w:rPr>
          <w:sz w:val="21"/>
        </w:rPr>
        <w:t>Liste de tous les dossiers avec accès direct à la fiche par clic sur une ligne.</w:t>
      </w:r>
    </w:p>
    <w:p>
      <w:pPr>
        <w:pStyle w:val="ListBullet"/>
      </w:pPr>
      <w:r>
        <w:rPr>
          <w:sz w:val="21"/>
        </w:rPr>
        <w:t>Génération d'une étiquette de dossier imprimable (QR code + bandeau de couleur selon la matière) pour la chemise papier.</w:t>
      </w:r>
    </w:p>
    <w:p>
      <w:pPr>
        <w:pStyle w:val="ListBullet"/>
      </w:pPr>
      <w:r>
        <w:rPr>
          <w:sz w:val="21"/>
        </w:rPr>
        <w:t>Ajout de délais/audiences, de pièces, de temps passé et de communications directement depuis la fiche.</w:t>
      </w:r>
    </w:p>
    <w:p>
      <w:pPr>
        <w:pStyle w:val="ListBullet"/>
      </w:pPr>
      <w:r>
        <w:rPr>
          <w:sz w:val="21"/>
        </w:rPr>
        <w:t>Assistant IA contextuel : résumé d'une pièce collée, génération d'une chronologie du dossier (toujours marqué « projet à valider »).</w:t>
      </w:r>
    </w:p>
    <w:p>
      <w:pPr>
        <w:pStyle w:val="Heading3"/>
      </w:pPr>
      <w:r>
        <w:t>Règles de gestion</w:t>
      </w:r>
    </w:p>
    <w:p>
      <w:pPr>
        <w:pStyle w:val="ListBullet"/>
      </w:pPr>
      <w:r>
        <w:rPr>
          <w:sz w:val="21"/>
        </w:rPr>
        <w:t>Alerte de collaboration : si un autre membre consulte le même dossier, un bandeau signale l'« activité en cours » et prévient d'un contrôle à l'enregistrement (verrouillage optimiste).</w:t>
      </w:r>
    </w:p>
    <w:p>
      <w:pPr>
        <w:pStyle w:val="ListBullet"/>
      </w:pPr>
      <w:r>
        <w:rPr>
          <w:sz w:val="21"/>
        </w:rPr>
        <w:t>La couleur de la chemise physique du dossier est déterminée automatiquement à partir du code matière contenu dans la référence (ex. CIV/FAM → jaune, PEN → rouge, COM/OHA → bleu, SOC → vert, FON/IMM → orange, ADM/FIS/ARB → violet).</w:t>
      </w:r>
    </w:p>
    <w:p>
      <w:pPr>
        <w:pStyle w:val="ListBullet"/>
      </w:pPr>
      <w:r>
        <w:rPr>
          <w:sz w:val="21"/>
        </w:rPr>
        <w:t>Un dossier peut être rattaché à une « affaire » regroupant plusieurs dossiers liés (ex. un contentieux et un dossier de conseil pour le même client).</w:t>
      </w:r>
    </w:p>
    <w:p>
      <w:pPr>
        <w:pStyle w:val="ListBullet"/>
      </w:pPr>
      <w:r>
        <w:rPr>
          <w:sz w:val="21"/>
        </w:rPr>
        <w:t>La notion d'« instances » permet de suivre un même dossier à travers plusieurs degrés de juridiction (1re instance, appel, cassation/CCJA) sous une référence unique.</w:t>
      </w:r>
    </w:p>
    <w:p>
      <w:pPr>
        <w:pStyle w:val="Heading2"/>
      </w:pPr>
      <w:r>
        <w:t>4.3 Nouveau dossier (ouverture)</w:t>
      </w:r>
    </w:p>
    <w:p>
      <w:pPr>
        <w:pStyle w:val="Heading3"/>
      </w:pPr>
      <w:r>
        <w:t>Objectif</w:t>
      </w:r>
    </w:p>
    <w:p>
      <w:r>
        <w:rPr>
          <w:b w:val="0"/>
          <w:i w:val="0"/>
          <w:sz w:val="21"/>
        </w:rPr>
        <w:t>Encadrer l'ouverture d'un dossier par un contrôle préalable et obligatoire des conflits d'intérêts, puis générer automatiquement la référence, la lettre de mission, la checklist KYC et les premières tâches.</w:t>
      </w:r>
    </w:p>
    <w:p>
      <w:pPr>
        <w:pStyle w:val="Heading3"/>
      </w:pPr>
      <w:r>
        <w:t>Données et entités</w:t>
      </w:r>
    </w:p>
    <w:p>
      <w:r>
        <w:rPr>
          <w:b/>
          <w:color w:val="1F2A44"/>
          <w:sz w:val="21"/>
        </w:rPr>
        <w:t>Étape 2 — informations d'ouverture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Type</w:t>
            </w:r>
          </w:p>
        </w:tc>
        <w:tc>
          <w:tcPr>
            <w:tcW w:type="dxa" w:w="3685"/>
          </w:tcPr>
          <w:p>
            <w:r/>
            <w:r>
              <w:rPr>
                <w:sz w:val="19"/>
              </w:rPr>
              <w:t>Contentieux (CX) ou Conseil (CS)</w:t>
            </w:r>
          </w:p>
        </w:tc>
        <w:tc>
          <w:tcPr>
            <w:tcW w:type="dxa" w:w="2835"/>
          </w:tcPr>
          <w:p>
            <w:r/>
            <w:r>
              <w:rPr>
                <w:sz w:val="19"/>
              </w:rPr>
              <w:t>CX</w:t>
            </w:r>
          </w:p>
        </w:tc>
      </w:tr>
      <w:tr>
        <w:tc>
          <w:tcPr>
            <w:tcW w:type="dxa" w:w="2551"/>
          </w:tcPr>
          <w:p>
            <w:r/>
            <w:r>
              <w:rPr>
                <w:sz w:val="19"/>
              </w:rPr>
              <w:t>Matière</w:t>
            </w:r>
          </w:p>
        </w:tc>
        <w:tc>
          <w:tcPr>
            <w:tcW w:type="dxa" w:w="3685"/>
          </w:tcPr>
          <w:p>
            <w:r/>
            <w:r>
              <w:rPr>
                <w:sz w:val="19"/>
              </w:rPr>
              <w:t>Code matière (15 valeurs, voir annexe)</w:t>
            </w:r>
          </w:p>
        </w:tc>
        <w:tc>
          <w:tcPr>
            <w:tcW w:type="dxa" w:w="2835"/>
          </w:tcPr>
          <w:p>
            <w:r/>
            <w:r>
              <w:rPr>
                <w:sz w:val="19"/>
              </w:rPr>
              <w:t>OHA — OHADA / affaires</w:t>
            </w:r>
          </w:p>
        </w:tc>
      </w:tr>
      <w:tr>
        <w:tc>
          <w:tcPr>
            <w:tcW w:type="dxa" w:w="2551"/>
          </w:tcPr>
          <w:p>
            <w:r/>
            <w:r>
              <w:rPr>
                <w:sz w:val="19"/>
              </w:rPr>
              <w:t>Date</w:t>
            </w:r>
          </w:p>
        </w:tc>
        <w:tc>
          <w:tcPr>
            <w:tcW w:type="dxa" w:w="3685"/>
          </w:tcPr>
          <w:p>
            <w:r/>
            <w:r>
              <w:rPr>
                <w:sz w:val="19"/>
              </w:rPr>
              <w:t>Date d'ouverture</w:t>
            </w:r>
          </w:p>
        </w:tc>
        <w:tc>
          <w:tcPr>
            <w:tcW w:type="dxa" w:w="2835"/>
          </w:tcPr>
          <w:p>
            <w:r/>
            <w:r>
              <w:rPr>
                <w:sz w:val="19"/>
              </w:rPr>
              <w:t>16/08/2026</w:t>
            </w:r>
          </w:p>
        </w:tc>
      </w:tr>
      <w:tr>
        <w:tc>
          <w:tcPr>
            <w:tcW w:type="dxa" w:w="2551"/>
          </w:tcPr>
          <w:p>
            <w:r/>
            <w:r>
              <w:rPr>
                <w:sz w:val="19"/>
              </w:rPr>
              <w:t>Responsable</w:t>
            </w:r>
          </w:p>
        </w:tc>
        <w:tc>
          <w:tcPr>
            <w:tcW w:type="dxa" w:w="3685"/>
          </w:tcPr>
          <w:p>
            <w:r/>
            <w:r>
              <w:rPr>
                <w:sz w:val="19"/>
              </w:rPr>
              <w:t>Avocat responsable (liste des membres)</w:t>
            </w:r>
          </w:p>
        </w:tc>
        <w:tc>
          <w:tcPr>
            <w:tcW w:type="dxa" w:w="2835"/>
          </w:tcPr>
          <w:p>
            <w:r/>
            <w:r>
              <w:rPr>
                <w:sz w:val="19"/>
              </w:rPr>
              <w:t>Me Daou</w:t>
            </w:r>
          </w:p>
        </w:tc>
      </w:tr>
      <w:tr>
        <w:tc>
          <w:tcPr>
            <w:tcW w:type="dxa" w:w="2551"/>
          </w:tcPr>
          <w:p>
            <w:r/>
            <w:r>
              <w:rPr>
                <w:sz w:val="19"/>
              </w:rPr>
              <w:t>Client / Partie(s) adverse(s) / Juridiction</w:t>
            </w:r>
          </w:p>
        </w:tc>
        <w:tc>
          <w:tcPr>
            <w:tcW w:type="dxa" w:w="3685"/>
          </w:tcPr>
          <w:p>
            <w:r/>
            <w:r>
              <w:rPr>
                <w:sz w:val="19"/>
              </w:rPr>
              <w:t>Parties concernées</w:t>
            </w:r>
          </w:p>
        </w:tc>
        <w:tc>
          <w:tcPr>
            <w:tcW w:type="dxa" w:w="2835"/>
          </w:tcPr>
          <w:p>
            <w:r/>
            <w:r>
              <w:rPr>
                <w:sz w:val="19"/>
              </w:rPr>
              <w:t>SODIMA Sarl / Bâtir-SA / Trib. Commerce</w:t>
            </w:r>
          </w:p>
        </w:tc>
      </w:tr>
      <w:tr>
        <w:tc>
          <w:tcPr>
            <w:tcW w:type="dxa" w:w="2551"/>
          </w:tcPr>
          <w:p>
            <w:r/>
            <w:r>
              <w:rPr>
                <w:sz w:val="19"/>
              </w:rPr>
              <w:t>Intitulé / Objet</w:t>
            </w:r>
          </w:p>
        </w:tc>
        <w:tc>
          <w:tcPr>
            <w:tcW w:type="dxa" w:w="3685"/>
          </w:tcPr>
          <w:p>
            <w:r/>
            <w:r>
              <w:rPr>
                <w:sz w:val="19"/>
              </w:rPr>
              <w:t>Intitulé du dossier et objet de la demande</w:t>
            </w:r>
          </w:p>
        </w:tc>
        <w:tc>
          <w:tcPr>
            <w:tcW w:type="dxa" w:w="2835"/>
          </w:tcPr>
          <w:p>
            <w:r/>
            <w:r>
              <w:rPr>
                <w:sz w:val="19"/>
              </w:rPr>
              <w:t>—</w:t>
            </w:r>
          </w:p>
        </w:tc>
      </w:tr>
    </w:tbl>
    <w:p/>
    <w:p>
      <w:pPr>
        <w:pStyle w:val="Heading3"/>
      </w:pPr>
      <w:r>
        <w:t>Fonctionnalités et actions utilisateur</w:t>
      </w:r>
    </w:p>
    <w:p>
      <w:pPr>
        <w:pStyle w:val="ListBullet"/>
      </w:pPr>
      <w:r>
        <w:rPr>
          <w:sz w:val="21"/>
        </w:rPr>
        <w:t>Étape 1 — Contrôle des conflits d'intérêts : saisie de l'intitulé du projet de dossier et des noms à vérifier (séparés par des virgules) ; recherche automatique dans le registre clients et dans les parties adverses de tous les dossiers existants.</w:t>
      </w:r>
    </w:p>
    <w:p>
      <w:pPr>
        <w:pStyle w:val="ListBullet"/>
      </w:pPr>
      <w:r>
        <w:rPr>
          <w:sz w:val="21"/>
        </w:rPr>
        <w:t>Si un rapprochement est trouvé : décision motivée obligatoire de l'associé (Refuser / Orienter vers un confrère / Accepter avec motif). Un motif vide bloque la validation.</w:t>
      </w:r>
    </w:p>
    <w:p>
      <w:pPr>
        <w:pStyle w:val="ListBullet"/>
      </w:pPr>
      <w:r>
        <w:rPr>
          <w:sz w:val="21"/>
        </w:rPr>
        <w:t>Si aucun conflit n'est détecté (ou après acceptation motivée) : passage à l'étape 2, formulaire de création du dossier.</w:t>
      </w:r>
    </w:p>
    <w:p>
      <w:pPr>
        <w:pStyle w:val="ListBullet"/>
      </w:pPr>
      <w:r>
        <w:rPr>
          <w:sz w:val="21"/>
        </w:rPr>
        <w:t>À la création : génération automatique de la référence JURIA, de la lettre de mission, de la checklist KYC et de 3 tâches dans le Plan d'action (« Envoyer la lettre de mission », « Compléter le KYC du client », « Constituer le dossier et numériser les pièces »).</w:t>
      </w:r>
    </w:p>
    <w:p>
      <w:pPr>
        <w:pStyle w:val="Heading3"/>
      </w:pPr>
      <w:r>
        <w:t>Règles de gestion</w:t>
      </w:r>
    </w:p>
    <w:p>
      <w:pPr>
        <w:pStyle w:val="ListBullet"/>
      </w:pPr>
      <w:r>
        <w:rPr>
          <w:sz w:val="21"/>
        </w:rPr>
        <w:t>Le contrôle des conflits d'intérêts est une étape obligatoire et bloquante avant toute ouverture de dossier.</w:t>
      </w:r>
    </w:p>
    <w:p>
      <w:pPr>
        <w:pStyle w:val="ListBullet"/>
      </w:pPr>
      <w:r>
        <w:rPr>
          <w:sz w:val="21"/>
        </w:rPr>
        <w:t>La référence JURIA se compose automatiquement du type (CX/CS), du code matière, de l'année et d'un numéro de séquence (ex. CX-OHA-2026-0007).</w:t>
      </w:r>
    </w:p>
    <w:p>
      <w:pPr>
        <w:pStyle w:val="ListBullet"/>
      </w:pPr>
      <w:r>
        <w:rPr>
          <w:sz w:val="21"/>
        </w:rPr>
        <w:t>La couleur de chemise physique du dossier est déterminée dès l'ouverture, à partir du code matière.</w:t>
      </w:r>
    </w:p>
    <w:p>
      <w:pPr>
        <w:pStyle w:val="Heading2"/>
      </w:pPr>
      <w:r>
        <w:t>4.4 Clients &amp; KYC</w:t>
      </w:r>
    </w:p>
    <w:p>
      <w:pPr>
        <w:pStyle w:val="Heading3"/>
      </w:pPr>
      <w:r>
        <w:t>Objectif</w:t>
      </w:r>
    </w:p>
    <w:p>
      <w:r>
        <w:rPr>
          <w:b w:val="0"/>
          <w:i w:val="0"/>
          <w:sz w:val="21"/>
        </w:rPr>
        <w:t>Tenir le registre unique des clients du cabinet (personnes physiques et morales), assurer le suivi de la connaissance client (KYC / LBC-FT) et gérer les originaux et pièces physiques que les clients confient au cabinet.</w:t>
      </w:r>
    </w:p>
    <w:p>
      <w:pPr>
        <w:pStyle w:val="Heading3"/>
      </w:pPr>
      <w:r>
        <w:t>Données et entités</w:t>
      </w:r>
    </w:p>
    <w:p>
      <w:r>
        <w:rPr>
          <w:b/>
          <w:color w:val="1F2A44"/>
          <w:sz w:val="21"/>
        </w:rPr>
        <w:t>Client</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nom</w:t>
            </w:r>
          </w:p>
        </w:tc>
        <w:tc>
          <w:tcPr>
            <w:tcW w:type="dxa" w:w="3685"/>
          </w:tcPr>
          <w:p>
            <w:r/>
            <w:r>
              <w:rPr>
                <w:sz w:val="19"/>
              </w:rPr>
              <w:t>Nom / raison sociale</w:t>
            </w:r>
          </w:p>
        </w:tc>
        <w:tc>
          <w:tcPr>
            <w:tcW w:type="dxa" w:w="2835"/>
          </w:tcPr>
          <w:p>
            <w:r/>
            <w:r>
              <w:rPr>
                <w:sz w:val="19"/>
              </w:rPr>
              <w:t>SODIMA Sarl</w:t>
            </w:r>
          </w:p>
        </w:tc>
      </w:tr>
      <w:tr>
        <w:tc>
          <w:tcPr>
            <w:tcW w:type="dxa" w:w="2551"/>
          </w:tcPr>
          <w:p>
            <w:r/>
            <w:r>
              <w:rPr>
                <w:sz w:val="19"/>
              </w:rPr>
              <w:t>type</w:t>
            </w:r>
          </w:p>
        </w:tc>
        <w:tc>
          <w:tcPr>
            <w:tcW w:type="dxa" w:w="3685"/>
          </w:tcPr>
          <w:p>
            <w:r/>
            <w:r>
              <w:rPr>
                <w:sz w:val="19"/>
              </w:rPr>
              <w:t>Personne morale / personne physique</w:t>
            </w:r>
          </w:p>
        </w:tc>
        <w:tc>
          <w:tcPr>
            <w:tcW w:type="dxa" w:w="2835"/>
          </w:tcPr>
          <w:p>
            <w:r/>
            <w:r>
              <w:rPr>
                <w:sz w:val="19"/>
              </w:rPr>
              <w:t>Personne morale</w:t>
            </w:r>
          </w:p>
        </w:tc>
      </w:tr>
      <w:tr>
        <w:tc>
          <w:tcPr>
            <w:tcW w:type="dxa" w:w="2551"/>
          </w:tcPr>
          <w:p>
            <w:r/>
            <w:r>
              <w:rPr>
                <w:sz w:val="19"/>
              </w:rPr>
              <w:t>ident</w:t>
            </w:r>
          </w:p>
        </w:tc>
        <w:tc>
          <w:tcPr>
            <w:tcW w:type="dxa" w:w="3685"/>
          </w:tcPr>
          <w:p>
            <w:r/>
            <w:r>
              <w:rPr>
                <w:sz w:val="19"/>
              </w:rPr>
              <w:t>Identifiant légal (RCCM ou NIF)</w:t>
            </w:r>
          </w:p>
        </w:tc>
        <w:tc>
          <w:tcPr>
            <w:tcW w:type="dxa" w:w="2835"/>
          </w:tcPr>
          <w:p>
            <w:r/>
            <w:r>
              <w:rPr>
                <w:sz w:val="19"/>
              </w:rPr>
              <w:t>RCCM ML-BKO-2019-B-4412</w:t>
            </w:r>
          </w:p>
        </w:tc>
      </w:tr>
      <w:tr>
        <w:tc>
          <w:tcPr>
            <w:tcW w:type="dxa" w:w="2551"/>
          </w:tcPr>
          <w:p>
            <w:r/>
            <w:r>
              <w:rPr>
                <w:sz w:val="19"/>
              </w:rPr>
              <w:t>pays</w:t>
            </w:r>
          </w:p>
        </w:tc>
        <w:tc>
          <w:tcPr>
            <w:tcW w:type="dxa" w:w="3685"/>
          </w:tcPr>
          <w:p>
            <w:r/>
            <w:r>
              <w:rPr>
                <w:sz w:val="19"/>
              </w:rPr>
              <w:t>Pays d'établissement</w:t>
            </w:r>
          </w:p>
        </w:tc>
        <w:tc>
          <w:tcPr>
            <w:tcW w:type="dxa" w:w="2835"/>
          </w:tcPr>
          <w:p>
            <w:r/>
            <w:r>
              <w:rPr>
                <w:sz w:val="19"/>
              </w:rPr>
              <w:t>Mali</w:t>
            </w:r>
          </w:p>
        </w:tc>
      </w:tr>
      <w:tr>
        <w:tc>
          <w:tcPr>
            <w:tcW w:type="dxa" w:w="2551"/>
          </w:tcPr>
          <w:p>
            <w:r/>
            <w:r>
              <w:rPr>
                <w:sz w:val="19"/>
              </w:rPr>
              <w:t>assujetti</w:t>
            </w:r>
          </w:p>
        </w:tc>
        <w:tc>
          <w:tcPr>
            <w:tcW w:type="dxa" w:w="3685"/>
          </w:tcPr>
          <w:p>
            <w:r/>
            <w:r>
              <w:rPr>
                <w:sz w:val="19"/>
              </w:rPr>
              <w:t>Assujettissement à la TVA malienne (booléen)</w:t>
            </w:r>
          </w:p>
        </w:tc>
        <w:tc>
          <w:tcPr>
            <w:tcW w:type="dxa" w:w="2835"/>
          </w:tcPr>
          <w:p>
            <w:r/>
            <w:r>
              <w:rPr>
                <w:sz w:val="19"/>
              </w:rPr>
              <w:t>true / false</w:t>
            </w:r>
          </w:p>
        </w:tc>
      </w:tr>
      <w:tr>
        <w:tc>
          <w:tcPr>
            <w:tcW w:type="dxa" w:w="2551"/>
          </w:tcPr>
          <w:p>
            <w:r/>
            <w:r>
              <w:rPr>
                <w:sz w:val="19"/>
              </w:rPr>
              <w:t>kyc</w:t>
            </w:r>
          </w:p>
        </w:tc>
        <w:tc>
          <w:tcPr>
            <w:tcW w:type="dxa" w:w="3685"/>
          </w:tcPr>
          <w:p>
            <w:r/>
            <w:r>
              <w:rPr>
                <w:sz w:val="19"/>
              </w:rPr>
              <w:t>Statut du dossier KYC</w:t>
            </w:r>
          </w:p>
        </w:tc>
        <w:tc>
          <w:tcPr>
            <w:tcW w:type="dxa" w:w="2835"/>
          </w:tcPr>
          <w:p>
            <w:r/>
            <w:r>
              <w:rPr>
                <w:sz w:val="19"/>
              </w:rPr>
              <w:t>à jour / pièce expirée / à faire</w:t>
            </w:r>
          </w:p>
        </w:tc>
      </w:tr>
      <w:tr>
        <w:tc>
          <w:tcPr>
            <w:tcW w:type="dxa" w:w="2551"/>
          </w:tcPr>
          <w:p>
            <w:r/>
            <w:r>
              <w:rPr>
                <w:sz w:val="19"/>
              </w:rPr>
              <w:t>dossiers</w:t>
            </w:r>
          </w:p>
        </w:tc>
        <w:tc>
          <w:tcPr>
            <w:tcW w:type="dxa" w:w="3685"/>
          </w:tcPr>
          <w:p>
            <w:r/>
            <w:r>
              <w:rPr>
                <w:sz w:val="19"/>
              </w:rPr>
              <w:t>Nombre de dossiers rattachés</w:t>
            </w:r>
          </w:p>
        </w:tc>
        <w:tc>
          <w:tcPr>
            <w:tcW w:type="dxa" w:w="2835"/>
          </w:tcPr>
          <w:p>
            <w:r/>
            <w:r>
              <w:rPr>
                <w:sz w:val="19"/>
              </w:rPr>
              <w:t>3</w:t>
            </w:r>
          </w:p>
        </w:tc>
      </w:tr>
      <w:tr>
        <w:tc>
          <w:tcPr>
            <w:tcW w:type="dxa" w:w="2551"/>
          </w:tcPr>
          <w:p>
            <w:r/>
            <w:r>
              <w:rPr>
                <w:sz w:val="19"/>
              </w:rPr>
              <w:t>solde</w:t>
            </w:r>
          </w:p>
        </w:tc>
        <w:tc>
          <w:tcPr>
            <w:tcW w:type="dxa" w:w="3685"/>
          </w:tcPr>
          <w:p>
            <w:r/>
            <w:r>
              <w:rPr>
                <w:sz w:val="19"/>
              </w:rPr>
              <w:t>Solde client (FCFA)</w:t>
            </w:r>
          </w:p>
        </w:tc>
        <w:tc>
          <w:tcPr>
            <w:tcW w:type="dxa" w:w="2835"/>
          </w:tcPr>
          <w:p>
            <w:r/>
            <w:r>
              <w:rPr>
                <w:sz w:val="19"/>
              </w:rPr>
              <w:t>1 500 000</w:t>
            </w:r>
          </w:p>
        </w:tc>
      </w:tr>
    </w:tbl>
    <w:p/>
    <w:p>
      <w:r>
        <w:rPr>
          <w:b/>
          <w:color w:val="1F2A44"/>
          <w:sz w:val="21"/>
        </w:rPr>
        <w:t>Original / pièce confiée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type</w:t>
            </w:r>
          </w:p>
        </w:tc>
        <w:tc>
          <w:tcPr>
            <w:tcW w:type="dxa" w:w="3685"/>
          </w:tcPr>
          <w:p>
            <w:r/>
            <w:r>
              <w:rPr>
                <w:sz w:val="19"/>
              </w:rPr>
              <w:t>Nature de l'original (liste type Original, voir annexe)</w:t>
            </w:r>
          </w:p>
        </w:tc>
        <w:tc>
          <w:tcPr>
            <w:tcW w:type="dxa" w:w="2835"/>
          </w:tcPr>
          <w:p>
            <w:r/>
            <w:r>
              <w:rPr>
                <w:sz w:val="19"/>
              </w:rPr>
              <w:t>Titre de propriété</w:t>
            </w:r>
          </w:p>
        </w:tc>
      </w:tr>
      <w:tr>
        <w:tc>
          <w:tcPr>
            <w:tcW w:type="dxa" w:w="2551"/>
          </w:tcPr>
          <w:p>
            <w:r/>
            <w:r>
              <w:rPr>
                <w:sz w:val="19"/>
              </w:rPr>
              <w:t>desc</w:t>
            </w:r>
          </w:p>
        </w:tc>
        <w:tc>
          <w:tcPr>
            <w:tcW w:type="dxa" w:w="3685"/>
          </w:tcPr>
          <w:p>
            <w:r/>
            <w:r>
              <w:rPr>
                <w:sz w:val="19"/>
              </w:rPr>
              <w:t>Description précise</w:t>
            </w:r>
          </w:p>
        </w:tc>
        <w:tc>
          <w:tcPr>
            <w:tcW w:type="dxa" w:w="2835"/>
          </w:tcPr>
          <w:p>
            <w:r/>
            <w:r>
              <w:rPr>
                <w:sz w:val="19"/>
              </w:rPr>
              <w:t>Titre foncier n° 4521 — parcelle Badalabougou</w:t>
            </w:r>
          </w:p>
        </w:tc>
      </w:tr>
      <w:tr>
        <w:tc>
          <w:tcPr>
            <w:tcW w:type="dxa" w:w="2551"/>
          </w:tcPr>
          <w:p>
            <w:r/>
            <w:r>
              <w:rPr>
                <w:sz w:val="19"/>
              </w:rPr>
              <w:t>client / dossier</w:t>
            </w:r>
          </w:p>
        </w:tc>
        <w:tc>
          <w:tcPr>
            <w:tcW w:type="dxa" w:w="3685"/>
          </w:tcPr>
          <w:p>
            <w:r/>
            <w:r>
              <w:rPr>
                <w:sz w:val="19"/>
              </w:rPr>
              <w:t>Rattachement</w:t>
            </w:r>
          </w:p>
        </w:tc>
        <w:tc>
          <w:tcPr>
            <w:tcW w:type="dxa" w:w="2835"/>
          </w:tcPr>
          <w:p>
            <w:r/>
            <w:r>
              <w:rPr>
                <w:sz w:val="19"/>
              </w:rPr>
              <w:t>SODIMA Sarl / AFF-26-018</w:t>
            </w:r>
          </w:p>
        </w:tc>
      </w:tr>
      <w:tr>
        <w:tc>
          <w:tcPr>
            <w:tcW w:type="dxa" w:w="2551"/>
          </w:tcPr>
          <w:p>
            <w:r/>
            <w:r>
              <w:rPr>
                <w:sz w:val="19"/>
              </w:rPr>
              <w:t>recu</w:t>
            </w:r>
          </w:p>
        </w:tc>
        <w:tc>
          <w:tcPr>
            <w:tcW w:type="dxa" w:w="3685"/>
          </w:tcPr>
          <w:p>
            <w:r/>
            <w:r>
              <w:rPr>
                <w:sz w:val="19"/>
              </w:rPr>
              <w:t>Date de réception</w:t>
            </w:r>
          </w:p>
        </w:tc>
        <w:tc>
          <w:tcPr>
            <w:tcW w:type="dxa" w:w="2835"/>
          </w:tcPr>
          <w:p>
            <w:r/>
            <w:r>
              <w:rPr>
                <w:sz w:val="19"/>
              </w:rPr>
              <w:t>12/05/2026</w:t>
            </w:r>
          </w:p>
        </w:tc>
      </w:tr>
      <w:tr>
        <w:tc>
          <w:tcPr>
            <w:tcW w:type="dxa" w:w="2551"/>
          </w:tcPr>
          <w:p>
            <w:r/>
            <w:r>
              <w:rPr>
                <w:sz w:val="19"/>
              </w:rPr>
              <w:t>lieu</w:t>
            </w:r>
          </w:p>
        </w:tc>
        <w:tc>
          <w:tcPr>
            <w:tcW w:type="dxa" w:w="3685"/>
          </w:tcPr>
          <w:p>
            <w:r/>
            <w:r>
              <w:rPr>
                <w:sz w:val="19"/>
              </w:rPr>
              <w:t>Emplacement de conservation</w:t>
            </w:r>
          </w:p>
        </w:tc>
        <w:tc>
          <w:tcPr>
            <w:tcW w:type="dxa" w:w="2835"/>
          </w:tcPr>
          <w:p>
            <w:r/>
            <w:r>
              <w:rPr>
                <w:sz w:val="19"/>
              </w:rPr>
              <w:t>Coffre</w:t>
            </w:r>
          </w:p>
        </w:tc>
      </w:tr>
      <w:tr>
        <w:tc>
          <w:tcPr>
            <w:tcW w:type="dxa" w:w="2551"/>
          </w:tcPr>
          <w:p>
            <w:r/>
            <w:r>
              <w:rPr>
                <w:sz w:val="19"/>
              </w:rPr>
              <w:t>restitue</w:t>
            </w:r>
          </w:p>
        </w:tc>
        <w:tc>
          <w:tcPr>
            <w:tcW w:type="dxa" w:w="3685"/>
          </w:tcPr>
          <w:p>
            <w:r/>
            <w:r>
              <w:rPr>
                <w:sz w:val="19"/>
              </w:rPr>
              <w:t>Original restitué (booléen)</w:t>
            </w:r>
          </w:p>
        </w:tc>
        <w:tc>
          <w:tcPr>
            <w:tcW w:type="dxa" w:w="2835"/>
          </w:tcPr>
          <w:p>
            <w:r/>
            <w:r>
              <w:rPr>
                <w:sz w:val="19"/>
              </w:rPr>
              <w:t>false</w:t>
            </w:r>
          </w:p>
        </w:tc>
      </w:tr>
    </w:tbl>
    <w:p/>
    <w:p>
      <w:pPr>
        <w:pStyle w:val="Heading3"/>
      </w:pPr>
      <w:r>
        <w:t>Fonctionnalités et actions utilisateur</w:t>
      </w:r>
    </w:p>
    <w:p>
      <w:pPr>
        <w:pStyle w:val="ListBullet"/>
      </w:pPr>
      <w:r>
        <w:rPr>
          <w:sz w:val="21"/>
        </w:rPr>
        <w:t>Ajout rapide d'un client (nom, type) depuis l'écran de liste.</w:t>
      </w:r>
    </w:p>
    <w:p>
      <w:pPr>
        <w:pStyle w:val="ListBullet"/>
      </w:pPr>
      <w:r>
        <w:rPr>
          <w:sz w:val="21"/>
        </w:rPr>
        <w:t>Table des rappels de renouvellement KYC : pièces expirées ou expirant sous 60 jours, avec badge d'alerte par nombre de jours.</w:t>
      </w:r>
    </w:p>
    <w:p>
      <w:pPr>
        <w:pStyle w:val="ListBullet"/>
      </w:pPr>
      <w:r>
        <w:rPr>
          <w:sz w:val="21"/>
        </w:rPr>
        <w:t>Registre des originaux confiés : ajout avec type paramétrable + « Autre », description, client, emplacement ; action « Marquer restitué ».</w:t>
      </w:r>
    </w:p>
    <w:p>
      <w:pPr>
        <w:pStyle w:val="Heading3"/>
      </w:pPr>
      <w:r>
        <w:t>Règles de gestion</w:t>
      </w:r>
    </w:p>
    <w:p>
      <w:pPr>
        <w:pStyle w:val="ListBullet"/>
      </w:pPr>
      <w:r>
        <w:rPr>
          <w:sz w:val="21"/>
        </w:rPr>
        <w:t>Le registre clients (et les parties adverses de tous les dossiers) sert de base au contrôle des conflits d'intérêts lors de toute nouvelle ouverture de dossier.</w:t>
      </w:r>
    </w:p>
    <w:p>
      <w:pPr>
        <w:pStyle w:val="ListBullet"/>
      </w:pPr>
      <w:r>
        <w:rPr>
          <w:sz w:val="21"/>
        </w:rPr>
        <w:t>Une pièce KYC expirée ou expirant sous 60 jours déclenche une alerte avec le même code couleur J-7/J-15 que les délais de procédure.</w:t>
      </w:r>
    </w:p>
    <w:p>
      <w:pPr>
        <w:pStyle w:val="ListBullet"/>
      </w:pPr>
      <w:r>
        <w:rPr>
          <w:sz w:val="21"/>
        </w:rPr>
        <w:t>Tout original physique remis par un client doit être restitué en fin de dossier ; le registre trace la réception, l'emplacement et la restitution, afin d'éviter tout litige.</w:t>
      </w:r>
    </w:p>
    <w:p>
      <w:pPr>
        <w:pStyle w:val="Heading2"/>
      </w:pPr>
      <w:r>
        <w:t>4.5 Échéancier</w:t>
      </w:r>
    </w:p>
    <w:p>
      <w:pPr>
        <w:pStyle w:val="Heading3"/>
      </w:pPr>
      <w:r>
        <w:t>Objectif</w:t>
      </w:r>
    </w:p>
    <w:p>
      <w:r>
        <w:rPr>
          <w:b w:val="0"/>
          <w:i w:val="0"/>
          <w:sz w:val="21"/>
        </w:rPr>
        <w:t>Centraliser, sous forme d'agenda, à la fois les délais de procédure propres à chaque dossier et les échéances administratives récurrentes du cabinet (obligations fiscales, sociales, ordinales, assurance), avec un système d'alertes automatiques.</w:t>
      </w:r>
    </w:p>
    <w:p>
      <w:pPr>
        <w:pStyle w:val="Heading3"/>
      </w:pPr>
      <w:r>
        <w:t>Données et entités</w:t>
      </w:r>
    </w:p>
    <w:p>
      <w:r>
        <w:rPr>
          <w:b/>
          <w:color w:val="1F2A44"/>
          <w:sz w:val="21"/>
        </w:rPr>
        <w:t>Événement / délai de dossier</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dossier</w:t>
            </w:r>
          </w:p>
        </w:tc>
        <w:tc>
          <w:tcPr>
            <w:tcW w:type="dxa" w:w="3685"/>
          </w:tcPr>
          <w:p>
            <w:r/>
            <w:r>
              <w:rPr>
                <w:sz w:val="19"/>
              </w:rPr>
              <w:t>Dossier concerné</w:t>
            </w:r>
          </w:p>
        </w:tc>
        <w:tc>
          <w:tcPr>
            <w:tcW w:type="dxa" w:w="2835"/>
          </w:tcPr>
          <w:p>
            <w:r/>
            <w:r>
              <w:rPr>
                <w:sz w:val="19"/>
              </w:rPr>
              <w:t>AFF-26-018</w:t>
            </w:r>
          </w:p>
        </w:tc>
      </w:tr>
      <w:tr>
        <w:tc>
          <w:tcPr>
            <w:tcW w:type="dxa" w:w="2551"/>
          </w:tcPr>
          <w:p>
            <w:r/>
            <w:r>
              <w:rPr>
                <w:sz w:val="19"/>
              </w:rPr>
              <w:t>type</w:t>
            </w:r>
          </w:p>
        </w:tc>
        <w:tc>
          <w:tcPr>
            <w:tcW w:type="dxa" w:w="3685"/>
          </w:tcPr>
          <w:p>
            <w:r/>
            <w:r>
              <w:rPr>
                <w:sz w:val="19"/>
              </w:rPr>
              <w:t>Audience / Délai de procédure / Délai de recours / Dépôt / Prescription</w:t>
            </w:r>
          </w:p>
        </w:tc>
        <w:tc>
          <w:tcPr>
            <w:tcW w:type="dxa" w:w="2835"/>
          </w:tcPr>
          <w:p>
            <w:r/>
            <w:r>
              <w:rPr>
                <w:sz w:val="19"/>
              </w:rPr>
              <w:t>Délai d'appel</w:t>
            </w:r>
          </w:p>
        </w:tc>
      </w:tr>
      <w:tr>
        <w:tc>
          <w:tcPr>
            <w:tcW w:type="dxa" w:w="2551"/>
          </w:tcPr>
          <w:p>
            <w:r/>
            <w:r>
              <w:rPr>
                <w:sz w:val="19"/>
              </w:rPr>
              <w:t>titre</w:t>
            </w:r>
          </w:p>
        </w:tc>
        <w:tc>
          <w:tcPr>
            <w:tcW w:type="dxa" w:w="3685"/>
          </w:tcPr>
          <w:p>
            <w:r/>
            <w:r>
              <w:rPr>
                <w:sz w:val="19"/>
              </w:rPr>
              <w:t>Intitulé de l'échéance</w:t>
            </w:r>
          </w:p>
        </w:tc>
        <w:tc>
          <w:tcPr>
            <w:tcW w:type="dxa" w:w="2835"/>
          </w:tcPr>
          <w:p>
            <w:r/>
            <w:r>
              <w:rPr>
                <w:sz w:val="19"/>
              </w:rPr>
              <w:t>Expiration délai d'appel</w:t>
            </w:r>
          </w:p>
        </w:tc>
      </w:tr>
      <w:tr>
        <w:tc>
          <w:tcPr>
            <w:tcW w:type="dxa" w:w="2551"/>
          </w:tcPr>
          <w:p>
            <w:r/>
            <w:r>
              <w:rPr>
                <w:sz w:val="19"/>
              </w:rPr>
              <w:t>dans</w:t>
            </w:r>
          </w:p>
        </w:tc>
        <w:tc>
          <w:tcPr>
            <w:tcW w:type="dxa" w:w="3685"/>
          </w:tcPr>
          <w:p>
            <w:r/>
            <w:r>
              <w:rPr>
                <w:sz w:val="19"/>
              </w:rPr>
              <w:t>Nombre de jours avant l'échéance</w:t>
            </w:r>
          </w:p>
        </w:tc>
        <w:tc>
          <w:tcPr>
            <w:tcW w:type="dxa" w:w="2835"/>
          </w:tcPr>
          <w:p>
            <w:r/>
            <w:r>
              <w:rPr>
                <w:sz w:val="19"/>
              </w:rPr>
              <w:t>2</w:t>
            </w:r>
          </w:p>
        </w:tc>
      </w:tr>
    </w:tbl>
    <w:p/>
    <w:p>
      <w:r>
        <w:rPr>
          <w:b/>
          <w:color w:val="1F2A44"/>
          <w:sz w:val="21"/>
        </w:rPr>
        <w:t>Échéance administrative récurrente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categorie</w:t>
            </w:r>
          </w:p>
        </w:tc>
        <w:tc>
          <w:tcPr>
            <w:tcW w:type="dxa" w:w="3685"/>
          </w:tcPr>
          <w:p>
            <w:r/>
            <w:r>
              <w:rPr>
                <w:sz w:val="19"/>
              </w:rPr>
              <w:t>Fiscale / Sociale / Ordinale / Assurance / Contrat / RH / Autre</w:t>
            </w:r>
          </w:p>
        </w:tc>
        <w:tc>
          <w:tcPr>
            <w:tcW w:type="dxa" w:w="2835"/>
          </w:tcPr>
          <w:p>
            <w:r/>
            <w:r>
              <w:rPr>
                <w:sz w:val="19"/>
              </w:rPr>
              <w:t>Fiscale</w:t>
            </w:r>
          </w:p>
        </w:tc>
      </w:tr>
      <w:tr>
        <w:tc>
          <w:tcPr>
            <w:tcW w:type="dxa" w:w="2551"/>
          </w:tcPr>
          <w:p>
            <w:r/>
            <w:r>
              <w:rPr>
                <w:sz w:val="19"/>
              </w:rPr>
              <w:t>libelle</w:t>
            </w:r>
          </w:p>
        </w:tc>
        <w:tc>
          <w:tcPr>
            <w:tcW w:type="dxa" w:w="3685"/>
          </w:tcPr>
          <w:p>
            <w:r/>
            <w:r>
              <w:rPr>
                <w:sz w:val="19"/>
              </w:rPr>
              <w:t>Intitulé de l'obligation</w:t>
            </w:r>
          </w:p>
        </w:tc>
        <w:tc>
          <w:tcPr>
            <w:tcW w:type="dxa" w:w="2835"/>
          </w:tcPr>
          <w:p>
            <w:r/>
            <w:r>
              <w:rPr>
                <w:sz w:val="19"/>
              </w:rPr>
              <w:t>Déclaration &amp; paiement de la TVA (18 %)</w:t>
            </w:r>
          </w:p>
        </w:tc>
      </w:tr>
      <w:tr>
        <w:tc>
          <w:tcPr>
            <w:tcW w:type="dxa" w:w="2551"/>
          </w:tcPr>
          <w:p>
            <w:r/>
            <w:r>
              <w:rPr>
                <w:sz w:val="19"/>
              </w:rPr>
              <w:t>periodicite</w:t>
            </w:r>
          </w:p>
        </w:tc>
        <w:tc>
          <w:tcPr>
            <w:tcW w:type="dxa" w:w="3685"/>
          </w:tcPr>
          <w:p>
            <w:r/>
            <w:r>
              <w:rPr>
                <w:sz w:val="19"/>
              </w:rPr>
              <w:t>Mensuelle / Trimestrielle / Semestrielle / Annuelle / Ponctuelle</w:t>
            </w:r>
          </w:p>
        </w:tc>
        <w:tc>
          <w:tcPr>
            <w:tcW w:type="dxa" w:w="2835"/>
          </w:tcPr>
          <w:p>
            <w:r/>
            <w:r>
              <w:rPr>
                <w:sz w:val="19"/>
              </w:rPr>
              <w:t>Mensuelle · le 15</w:t>
            </w:r>
          </w:p>
        </w:tc>
      </w:tr>
      <w:tr>
        <w:tc>
          <w:tcPr>
            <w:tcW w:type="dxa" w:w="2551"/>
          </w:tcPr>
          <w:p>
            <w:r/>
            <w:r>
              <w:rPr>
                <w:sz w:val="19"/>
              </w:rPr>
              <w:t>responsable</w:t>
            </w:r>
          </w:p>
        </w:tc>
        <w:tc>
          <w:tcPr>
            <w:tcW w:type="dxa" w:w="3685"/>
          </w:tcPr>
          <w:p>
            <w:r/>
            <w:r>
              <w:rPr>
                <w:sz w:val="19"/>
              </w:rPr>
              <w:t>Membre en charge du suivi</w:t>
            </w:r>
          </w:p>
        </w:tc>
        <w:tc>
          <w:tcPr>
            <w:tcW w:type="dxa" w:w="2835"/>
          </w:tcPr>
          <w:p>
            <w:r/>
            <w:r>
              <w:rPr>
                <w:sz w:val="19"/>
              </w:rPr>
              <w:t>Comptable / Administrateur</w:t>
            </w:r>
          </w:p>
        </w:tc>
      </w:tr>
      <w:tr>
        <w:tc>
          <w:tcPr>
            <w:tcW w:type="dxa" w:w="2551"/>
          </w:tcPr>
          <w:p>
            <w:r/>
            <w:r>
              <w:rPr>
                <w:sz w:val="19"/>
              </w:rPr>
              <w:t>statut</w:t>
            </w:r>
          </w:p>
        </w:tc>
        <w:tc>
          <w:tcPr>
            <w:tcW w:type="dxa" w:w="3685"/>
          </w:tcPr>
          <w:p>
            <w:r/>
            <w:r>
              <w:rPr>
                <w:sz w:val="19"/>
              </w:rPr>
              <w:t>À faire / Payé (traité)</w:t>
            </w:r>
          </w:p>
        </w:tc>
        <w:tc>
          <w:tcPr>
            <w:tcW w:type="dxa" w:w="2835"/>
          </w:tcPr>
          <w:p>
            <w:r/>
            <w:r>
              <w:rPr>
                <w:sz w:val="19"/>
              </w:rPr>
              <w:t>À faire</w:t>
            </w:r>
          </w:p>
        </w:tc>
      </w:tr>
    </w:tbl>
    <w:p/>
    <w:p>
      <w:pPr>
        <w:pStyle w:val="Heading3"/>
      </w:pPr>
      <w:r>
        <w:t>Fonctionnalités et actions utilisateur</w:t>
      </w:r>
    </w:p>
    <w:p>
      <w:pPr>
        <w:pStyle w:val="ListBullet"/>
      </w:pPr>
      <w:r>
        <w:rPr>
          <w:sz w:val="21"/>
        </w:rPr>
        <w:t>Ajout d'un délai rattaché à un dossier (type, intitulé, échéance en nombre de jours).</w:t>
      </w:r>
    </w:p>
    <w:p>
      <w:pPr>
        <w:pStyle w:val="ListBullet"/>
      </w:pPr>
      <w:r>
        <w:rPr>
          <w:sz w:val="21"/>
        </w:rPr>
        <w:t>Ajout d'une échéance administrative récurrente (catégorie, périodicité, libellé, échéance).</w:t>
      </w:r>
    </w:p>
    <w:p>
      <w:pPr>
        <w:pStyle w:val="ListBullet"/>
      </w:pPr>
      <w:r>
        <w:rPr>
          <w:sz w:val="21"/>
        </w:rPr>
        <w:t>Table « Prochaines échéances » (tous dossiers confondus) et table « Échéances administratives récurrentes du cabinet », triées par urgence.</w:t>
      </w:r>
    </w:p>
    <w:p>
      <w:pPr>
        <w:pStyle w:val="ListBullet"/>
      </w:pPr>
      <w:r>
        <w:rPr>
          <w:sz w:val="21"/>
        </w:rPr>
        <w:t>Action « Marquer traité » sur une échéance administrative.</w:t>
      </w:r>
    </w:p>
    <w:p>
      <w:pPr>
        <w:pStyle w:val="Heading3"/>
      </w:pPr>
      <w:r>
        <w:t>Règles de gestion</w:t>
      </w:r>
    </w:p>
    <w:p>
      <w:pPr>
        <w:pStyle w:val="ListBullet"/>
      </w:pPr>
      <w:r>
        <w:rPr>
          <w:sz w:val="21"/>
        </w:rPr>
        <w:t>Chaque délai déclenche des alertes automatiques à J-30, J-15, J-7, J-1 et au jour J.</w:t>
      </w:r>
    </w:p>
    <w:p>
      <w:pPr>
        <w:pStyle w:val="ListBullet"/>
      </w:pPr>
      <w:r>
        <w:rPr>
          <w:sz w:val="21"/>
        </w:rPr>
        <w:t>JURIA rappelle l'échéance administrative mais ne calcule pas l'impôt ou la cotisation : le calcul et la déclaration restent à la charge du comptable.</w:t>
      </w:r>
    </w:p>
    <w:p>
      <w:pPr>
        <w:pStyle w:val="ListBullet"/>
      </w:pPr>
      <w:r>
        <w:rPr>
          <w:sz w:val="21"/>
        </w:rPr>
        <w:t>Échéances pré-remplies et à revalider chaque année (loi de finances), selon les règles DGI Mali / INPS : TVA et ITS le 15 du mois suivant ; cotisations INPS mensuelles (si ≥10 salariés) ou trimestrielles ; acomptes d'IS aux 31/03, 31/07 et 30/11 ; patente avant le 1er mai ; cotisation annuelle à l'Ordre des avocats ; assurance responsabilité civile professionnelle annuelle.</w:t>
      </w:r>
    </w:p>
    <w:p>
      <w:pPr>
        <w:pStyle w:val="Heading2"/>
      </w:pPr>
      <w:r>
        <w:t>4.6 Rôle d'audience</w:t>
      </w:r>
    </w:p>
    <w:p>
      <w:pPr>
        <w:pStyle w:val="Heading3"/>
      </w:pPr>
      <w:r>
        <w:t>Objectif</w:t>
      </w:r>
    </w:p>
    <w:p>
      <w:r>
        <w:rPr>
          <w:b w:val="0"/>
          <w:i w:val="0"/>
          <w:sz w:val="21"/>
        </w:rPr>
        <w:t>Établir, valider et diffuser à l'équipe l'agenda hebdomadaire des audiences du cabinet, planifier les diligences et assistances hors audience, et assurer la boucle de retour d'audience (résultat, motif de renvoi, prochaine date).</w:t>
      </w:r>
    </w:p>
    <w:p>
      <w:pPr>
        <w:pStyle w:val="Heading3"/>
      </w:pPr>
      <w:r>
        <w:t>Données et entités</w:t>
      </w:r>
    </w:p>
    <w:p>
      <w:r>
        <w:rPr>
          <w:b/>
          <w:color w:val="1F2A44"/>
          <w:sz w:val="21"/>
        </w:rPr>
        <w:t>Ligne de rôle (roleSemaine)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jour / heure</w:t>
            </w:r>
          </w:p>
        </w:tc>
        <w:tc>
          <w:tcPr>
            <w:tcW w:type="dxa" w:w="3685"/>
          </w:tcPr>
          <w:p>
            <w:r/>
            <w:r>
              <w:rPr>
                <w:sz w:val="19"/>
              </w:rPr>
              <w:t>Créneau de l'audience</w:t>
            </w:r>
          </w:p>
        </w:tc>
        <w:tc>
          <w:tcPr>
            <w:tcW w:type="dxa" w:w="2835"/>
          </w:tcPr>
          <w:p>
            <w:r/>
            <w:r>
              <w:rPr>
                <w:sz w:val="19"/>
              </w:rPr>
              <w:t>Lun. 27 · 08:30</w:t>
            </w:r>
          </w:p>
        </w:tc>
      </w:tr>
      <w:tr>
        <w:tc>
          <w:tcPr>
            <w:tcW w:type="dxa" w:w="2551"/>
          </w:tcPr>
          <w:p>
            <w:r/>
            <w:r>
              <w:rPr>
                <w:sz w:val="19"/>
              </w:rPr>
              <w:t>dossier / juridiction / avocat</w:t>
            </w:r>
          </w:p>
        </w:tc>
        <w:tc>
          <w:tcPr>
            <w:tcW w:type="dxa" w:w="3685"/>
          </w:tcPr>
          <w:p>
            <w:r/>
            <w:r>
              <w:rPr>
                <w:sz w:val="19"/>
              </w:rPr>
              <w:t>Rattachement</w:t>
            </w:r>
          </w:p>
        </w:tc>
        <w:tc>
          <w:tcPr>
            <w:tcW w:type="dxa" w:w="2835"/>
          </w:tcPr>
          <w:p>
            <w:r/>
            <w:r>
              <w:rPr>
                <w:sz w:val="19"/>
              </w:rPr>
              <w:t>AFF-26-018 · Cour d'appel Bamako · Me Daou</w:t>
            </w:r>
          </w:p>
        </w:tc>
      </w:tr>
      <w:tr>
        <w:tc>
          <w:tcPr>
            <w:tcW w:type="dxa" w:w="2551"/>
          </w:tcPr>
          <w:p>
            <w:r/>
            <w:r>
              <w:rPr>
                <w:sz w:val="19"/>
              </w:rPr>
              <w:t>nature</w:t>
            </w:r>
          </w:p>
        </w:tc>
        <w:tc>
          <w:tcPr>
            <w:tcW w:type="dxa" w:w="3685"/>
          </w:tcPr>
          <w:p>
            <w:r/>
            <w:r>
              <w:rPr>
                <w:sz w:val="19"/>
              </w:rPr>
              <w:t>Nature de la procédure (liste natureProc, voir annexe)</w:t>
            </w:r>
          </w:p>
        </w:tc>
        <w:tc>
          <w:tcPr>
            <w:tcW w:type="dxa" w:w="2835"/>
          </w:tcPr>
          <w:p>
            <w:r/>
            <w:r>
              <w:rPr>
                <w:sz w:val="19"/>
              </w:rPr>
              <w:t>Recouvrement de créance</w:t>
            </w:r>
          </w:p>
        </w:tc>
      </w:tr>
      <w:tr>
        <w:tc>
          <w:tcPr>
            <w:tcW w:type="dxa" w:w="2551"/>
          </w:tcPr>
          <w:p>
            <w:r/>
            <w:r>
              <w:rPr>
                <w:sz w:val="19"/>
              </w:rPr>
              <w:t>type</w:t>
            </w:r>
          </w:p>
        </w:tc>
        <w:tc>
          <w:tcPr>
            <w:tcW w:type="dxa" w:w="3685"/>
          </w:tcPr>
          <w:p>
            <w:r/>
            <w:r>
              <w:rPr>
                <w:sz w:val="19"/>
              </w:rPr>
              <w:t>Type d'audience</w:t>
            </w:r>
          </w:p>
        </w:tc>
        <w:tc>
          <w:tcPr>
            <w:tcW w:type="dxa" w:w="2835"/>
          </w:tcPr>
          <w:p>
            <w:r/>
            <w:r>
              <w:rPr>
                <w:sz w:val="19"/>
              </w:rPr>
              <w:t>Plaidoirie / Mise en état</w:t>
            </w:r>
          </w:p>
        </w:tc>
      </w:tr>
      <w:tr>
        <w:tc>
          <w:tcPr>
            <w:tcW w:type="dxa" w:w="2551"/>
          </w:tcPr>
          <w:p>
            <w:r/>
            <w:r>
              <w:rPr>
                <w:sz w:val="19"/>
              </w:rPr>
              <w:t>instr</w:t>
            </w:r>
          </w:p>
        </w:tc>
        <w:tc>
          <w:tcPr>
            <w:tcW w:type="dxa" w:w="3685"/>
          </w:tcPr>
          <w:p>
            <w:r/>
            <w:r>
              <w:rPr>
                <w:sz w:val="19"/>
              </w:rPr>
              <w:t>Instructions pour l'avocat</w:t>
            </w:r>
          </w:p>
        </w:tc>
        <w:tc>
          <w:tcPr>
            <w:tcW w:type="dxa" w:w="2835"/>
          </w:tcPr>
          <w:p>
            <w:r/>
            <w:r>
              <w:rPr>
                <w:sz w:val="19"/>
              </w:rPr>
              <w:t>Plaider l'appel ; déposer conclusions</w:t>
            </w:r>
          </w:p>
        </w:tc>
      </w:tr>
      <w:tr>
        <w:tc>
          <w:tcPr>
            <w:tcW w:type="dxa" w:w="2551"/>
          </w:tcPr>
          <w:p>
            <w:r/>
            <w:r>
              <w:rPr>
                <w:sz w:val="19"/>
              </w:rPr>
              <w:t>nouveau / urgent</w:t>
            </w:r>
          </w:p>
        </w:tc>
        <w:tc>
          <w:tcPr>
            <w:tcW w:type="dxa" w:w="3685"/>
          </w:tcPr>
          <w:p>
            <w:r/>
            <w:r>
              <w:rPr>
                <w:sz w:val="19"/>
              </w:rPr>
              <w:t>Nouveau au rôle / dossier de dernière minute (booléens)</w:t>
            </w:r>
          </w:p>
        </w:tc>
        <w:tc>
          <w:tcPr>
            <w:tcW w:type="dxa" w:w="2835"/>
          </w:tcPr>
          <w:p>
            <w:r/>
            <w:r>
              <w:rPr>
                <w:sz w:val="19"/>
              </w:rPr>
              <w:t>false / false</w:t>
            </w:r>
          </w:p>
        </w:tc>
      </w:tr>
      <w:tr>
        <w:tc>
          <w:tcPr>
            <w:tcW w:type="dxa" w:w="2551"/>
          </w:tcPr>
          <w:p>
            <w:r/>
            <w:r>
              <w:rPr>
                <w:sz w:val="19"/>
              </w:rPr>
              <w:t>dernierMotif</w:t>
            </w:r>
          </w:p>
        </w:tc>
        <w:tc>
          <w:tcPr>
            <w:tcW w:type="dxa" w:w="3685"/>
          </w:tcPr>
          <w:p>
            <w:r/>
            <w:r>
              <w:rPr>
                <w:sz w:val="19"/>
              </w:rPr>
              <w:t>Dernier motif de renvoi connu</w:t>
            </w:r>
          </w:p>
        </w:tc>
        <w:tc>
          <w:tcPr>
            <w:tcW w:type="dxa" w:w="2835"/>
          </w:tcPr>
          <w:p>
            <w:r/>
            <w:r>
              <w:rPr>
                <w:sz w:val="19"/>
              </w:rPr>
              <w:t>Production / communication de pièces</w:t>
            </w:r>
          </w:p>
        </w:tc>
      </w:tr>
    </w:tbl>
    <w:p/>
    <w:p>
      <w:r>
        <w:rPr>
          <w:b/>
          <w:color w:val="1F2A44"/>
          <w:sz w:val="21"/>
        </w:rPr>
        <w:t>Retour d'audience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dossier / resultat</w:t>
            </w:r>
          </w:p>
        </w:tc>
        <w:tc>
          <w:tcPr>
            <w:tcW w:type="dxa" w:w="3685"/>
          </w:tcPr>
          <w:p>
            <w:r/>
            <w:r>
              <w:rPr>
                <w:sz w:val="19"/>
              </w:rPr>
              <w:t>Dossier et résultat (liste resultats, voir annexe)</w:t>
            </w:r>
          </w:p>
        </w:tc>
        <w:tc>
          <w:tcPr>
            <w:tcW w:type="dxa" w:w="2835"/>
          </w:tcPr>
          <w:p>
            <w:r/>
            <w:r>
              <w:rPr>
                <w:sz w:val="19"/>
              </w:rPr>
              <w:t>AFF-26-018 / Renvoi</w:t>
            </w:r>
          </w:p>
        </w:tc>
      </w:tr>
      <w:tr>
        <w:tc>
          <w:tcPr>
            <w:tcW w:type="dxa" w:w="2551"/>
          </w:tcPr>
          <w:p>
            <w:r/>
            <w:r>
              <w:rPr>
                <w:sz w:val="19"/>
              </w:rPr>
              <w:t>motif</w:t>
            </w:r>
          </w:p>
        </w:tc>
        <w:tc>
          <w:tcPr>
            <w:tcW w:type="dxa" w:w="3685"/>
          </w:tcPr>
          <w:p>
            <w:r/>
            <w:r>
              <w:rPr>
                <w:sz w:val="19"/>
              </w:rPr>
              <w:t>Motif de renvoi si applicable (liste motifs, voir annexe)</w:t>
            </w:r>
          </w:p>
        </w:tc>
        <w:tc>
          <w:tcPr>
            <w:tcW w:type="dxa" w:w="2835"/>
          </w:tcPr>
          <w:p>
            <w:r/>
            <w:r>
              <w:rPr>
                <w:sz w:val="19"/>
              </w:rPr>
              <w:t>Production de pièces</w:t>
            </w:r>
          </w:p>
        </w:tc>
      </w:tr>
      <w:tr>
        <w:tc>
          <w:tcPr>
            <w:tcW w:type="dxa" w:w="2551"/>
          </w:tcPr>
          <w:p>
            <w:r/>
            <w:r>
              <w:rPr>
                <w:sz w:val="19"/>
              </w:rPr>
              <w:t>prochaine</w:t>
            </w:r>
          </w:p>
        </w:tc>
        <w:tc>
          <w:tcPr>
            <w:tcW w:type="dxa" w:w="3685"/>
          </w:tcPr>
          <w:p>
            <w:r/>
            <w:r>
              <w:rPr>
                <w:sz w:val="19"/>
              </w:rPr>
              <w:t>Prochaine date d'audience</w:t>
            </w:r>
          </w:p>
        </w:tc>
        <w:tc>
          <w:tcPr>
            <w:tcW w:type="dxa" w:w="2835"/>
          </w:tcPr>
          <w:p>
            <w:r/>
            <w:r>
              <w:rPr>
                <w:sz w:val="19"/>
              </w:rPr>
              <w:t>22/07/2026</w:t>
            </w:r>
          </w:p>
        </w:tc>
      </w:tr>
    </w:tbl>
    <w:p/>
    <w:p>
      <w:r>
        <w:rPr>
          <w:b/>
          <w:color w:val="1F2A44"/>
          <w:sz w:val="21"/>
        </w:rPr>
        <w:t>Diligence / assistance (2ᵉ rôle)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type</w:t>
            </w:r>
          </w:p>
        </w:tc>
        <w:tc>
          <w:tcPr>
            <w:tcW w:type="dxa" w:w="3685"/>
          </w:tcPr>
          <w:p>
            <w:r/>
            <w:r>
              <w:rPr>
                <w:sz w:val="19"/>
              </w:rPr>
              <w:t>Type de diligence (liste typeDiligence, voir annexe)</w:t>
            </w:r>
          </w:p>
        </w:tc>
        <w:tc>
          <w:tcPr>
            <w:tcW w:type="dxa" w:w="2835"/>
          </w:tcPr>
          <w:p>
            <w:r/>
            <w:r>
              <w:rPr>
                <w:sz w:val="19"/>
              </w:rPr>
              <w:t>Audition / assistance en juridiction</w:t>
            </w:r>
          </w:p>
        </w:tc>
      </w:tr>
      <w:tr>
        <w:tc>
          <w:tcPr>
            <w:tcW w:type="dxa" w:w="2551"/>
          </w:tcPr>
          <w:p>
            <w:r/>
            <w:r>
              <w:rPr>
                <w:sz w:val="19"/>
              </w:rPr>
              <w:t>membre / date / heure / lieu</w:t>
            </w:r>
          </w:p>
        </w:tc>
        <w:tc>
          <w:tcPr>
            <w:tcW w:type="dxa" w:w="3685"/>
          </w:tcPr>
          <w:p>
            <w:r/>
            <w:r>
              <w:rPr>
                <w:sz w:val="19"/>
              </w:rPr>
              <w:t>Affectation</w:t>
            </w:r>
          </w:p>
        </w:tc>
        <w:tc>
          <w:tcPr>
            <w:tcW w:type="dxa" w:w="2835"/>
          </w:tcPr>
          <w:p>
            <w:r/>
            <w:r>
              <w:rPr>
                <w:sz w:val="19"/>
              </w:rPr>
              <w:t>Me Konaté · 27/07/2026 · 10:30 · Tribunal administratif</w:t>
            </w:r>
          </w:p>
        </w:tc>
      </w:tr>
      <w:tr>
        <w:tc>
          <w:tcPr>
            <w:tcW w:type="dxa" w:w="2551"/>
          </w:tcPr>
          <w:p>
            <w:r/>
            <w:r>
              <w:rPr>
                <w:sz w:val="19"/>
              </w:rPr>
              <w:t>statut</w:t>
            </w:r>
          </w:p>
        </w:tc>
        <w:tc>
          <w:tcPr>
            <w:tcW w:type="dxa" w:w="3685"/>
          </w:tcPr>
          <w:p>
            <w:r/>
            <w:r>
              <w:rPr>
                <w:sz w:val="19"/>
              </w:rPr>
              <w:t>À faire / Fait</w:t>
            </w:r>
          </w:p>
        </w:tc>
        <w:tc>
          <w:tcPr>
            <w:tcW w:type="dxa" w:w="2835"/>
          </w:tcPr>
          <w:p>
            <w:r/>
            <w:r>
              <w:rPr>
                <w:sz w:val="19"/>
              </w:rPr>
              <w:t>À faire</w:t>
            </w:r>
          </w:p>
        </w:tc>
      </w:tr>
    </w:tbl>
    <w:p/>
    <w:p>
      <w:pPr>
        <w:pStyle w:val="Heading3"/>
      </w:pPr>
      <w:r>
        <w:t>Fonctionnalités et actions utilisateur</w:t>
      </w:r>
    </w:p>
    <w:p>
      <w:pPr>
        <w:pStyle w:val="ListBullet"/>
      </w:pPr>
      <w:r>
        <w:rPr>
          <w:sz w:val="21"/>
        </w:rPr>
        <w:t>Consultation du rôle de la semaine avec statut « brouillon » ou « diffusé ».</w:t>
      </w:r>
    </w:p>
    <w:p>
      <w:pPr>
        <w:pStyle w:val="ListBullet"/>
      </w:pPr>
      <w:r>
        <w:rPr>
          <w:sz w:val="21"/>
        </w:rPr>
        <w:t>Insertion d'un dossier de « dernière minute » (marqué urgent, alerte envoyée à l'équipe).</w:t>
      </w:r>
    </w:p>
    <w:p>
      <w:pPr>
        <w:pStyle w:val="ListBullet"/>
      </w:pPr>
      <w:r>
        <w:rPr>
          <w:sz w:val="21"/>
        </w:rPr>
        <w:t>Émission, validation et diffusion du rôle à toute l'équipe.</w:t>
      </w:r>
    </w:p>
    <w:p>
      <w:pPr>
        <w:pStyle w:val="ListBullet"/>
      </w:pPr>
      <w:r>
        <w:rPr>
          <w:sz w:val="21"/>
        </w:rPr>
        <w:t>Planning des diligences : ajout d'une diligence/assistance (type, objet, membre, date, heure, lieu) et action « Marquer fait ».</w:t>
      </w:r>
    </w:p>
    <w:p>
      <w:pPr>
        <w:pStyle w:val="ListBullet"/>
      </w:pPr>
      <w:r>
        <w:rPr>
          <w:sz w:val="21"/>
        </w:rPr>
        <w:t>Enregistrement d'un retour d'audience : sélection du résultat, puis du motif de renvoi si le résultat est « Renvoi », saisie de la prochaine date, génération du compte rendu client.</w:t>
      </w:r>
    </w:p>
    <w:p>
      <w:pPr>
        <w:pStyle w:val="Heading3"/>
      </w:pPr>
      <w:r>
        <w:t>Règles de gestion</w:t>
      </w:r>
    </w:p>
    <w:p>
      <w:pPr>
        <w:pStyle w:val="ListBullet"/>
      </w:pPr>
      <w:r>
        <w:rPr>
          <w:sz w:val="21"/>
        </w:rPr>
        <w:t>Un retour d'audience de type « Renvoi » avec une prochaine date alimente automatiquement le rôle de la semaine correspondante.</w:t>
      </w:r>
    </w:p>
    <w:p>
      <w:pPr>
        <w:pStyle w:val="ListBullet"/>
      </w:pPr>
      <w:r>
        <w:rPr>
          <w:sz w:val="21"/>
        </w:rPr>
        <w:t>Alerte « comptes rendus manquants » : signale les audiences tenues sans compte rendu ni motif de renvoi renseigné.</w:t>
      </w:r>
    </w:p>
    <w:p>
      <w:pPr>
        <w:pStyle w:val="ListBullet"/>
      </w:pPr>
      <w:r>
        <w:rPr>
          <w:sz w:val="21"/>
        </w:rPr>
        <w:t>Alerte de cohérence des motifs : le dernier motif affiché au rôle est rapproché automatiquement du motif saisi lors du retour d'audience précédent pour le même dossier (✓ cohérent / ⚠ à vérifier).</w:t>
      </w:r>
    </w:p>
    <w:p>
      <w:pPr>
        <w:pStyle w:val="ListBullet"/>
      </w:pPr>
      <w:r>
        <w:rPr>
          <w:sz w:val="21"/>
        </w:rPr>
        <w:t>Toutes les listes de résultats, motifs et natures de procédure sont paramétrables par le cabinet et se terminent par « Autre », qui ouvre un champ de description libre.</w:t>
      </w:r>
    </w:p>
    <w:p>
      <w:pPr>
        <w:pStyle w:val="ListBullet"/>
      </w:pPr>
      <w:r>
        <w:rPr>
          <w:sz w:val="21"/>
        </w:rPr>
        <w:t>Code couleur des pastilles de rôle : vert = nouveau au rôle, gris = dossier ancien, rouge = urgent / dernière minute.</w:t>
      </w:r>
    </w:p>
    <w:p>
      <w:pPr>
        <w:pStyle w:val="Heading2"/>
      </w:pPr>
      <w:r>
        <w:t>4.7 Registre du courrier</w:t>
      </w:r>
    </w:p>
    <w:p>
      <w:pPr>
        <w:pStyle w:val="Heading3"/>
      </w:pPr>
      <w:r>
        <w:t>Objectif</w:t>
      </w:r>
    </w:p>
    <w:p>
      <w:r>
        <w:rPr>
          <w:b w:val="0"/>
          <w:i w:val="0"/>
          <w:sz w:val="21"/>
        </w:rPr>
        <w:t>Enregistrer, référencer et suivre l'ensemble du courrier entrant et sortant du cabinet, organiser sa numérisation en GED et déclencher automatiquement les événements ou diligences qui en découlent.</w:t>
      </w:r>
    </w:p>
    <w:p>
      <w:pPr>
        <w:pStyle w:val="Heading3"/>
      </w:pPr>
      <w:r>
        <w:t>Données et entités</w:t>
      </w:r>
    </w:p>
    <w:p>
      <w:r>
        <w:rPr>
          <w:b/>
          <w:color w:val="1F2A44"/>
          <w:sz w:val="21"/>
        </w:rPr>
        <w:t>Courrier</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ref</w:t>
            </w:r>
          </w:p>
        </w:tc>
        <w:tc>
          <w:tcPr>
            <w:tcW w:type="dxa" w:w="3685"/>
          </w:tcPr>
          <w:p>
            <w:r/>
            <w:r>
              <w:rPr>
                <w:sz w:val="19"/>
              </w:rPr>
              <w:t>Référence unique auto-générée (ARR-année-séquence / DEP-année-séquence)</w:t>
            </w:r>
          </w:p>
        </w:tc>
        <w:tc>
          <w:tcPr>
            <w:tcW w:type="dxa" w:w="2835"/>
          </w:tcPr>
          <w:p>
            <w:r/>
            <w:r>
              <w:rPr>
                <w:sz w:val="19"/>
              </w:rPr>
              <w:t>ARR-2026-000121</w:t>
            </w:r>
          </w:p>
        </w:tc>
      </w:tr>
      <w:tr>
        <w:tc>
          <w:tcPr>
            <w:tcW w:type="dxa" w:w="2551"/>
          </w:tcPr>
          <w:p>
            <w:r/>
            <w:r>
              <w:rPr>
                <w:sz w:val="19"/>
              </w:rPr>
              <w:t>sens</w:t>
            </w:r>
          </w:p>
        </w:tc>
        <w:tc>
          <w:tcPr>
            <w:tcW w:type="dxa" w:w="3685"/>
          </w:tcPr>
          <w:p>
            <w:r/>
            <w:r>
              <w:rPr>
                <w:sz w:val="19"/>
              </w:rPr>
              <w:t>Arrivée ou Départ</w:t>
            </w:r>
          </w:p>
        </w:tc>
        <w:tc>
          <w:tcPr>
            <w:tcW w:type="dxa" w:w="2835"/>
          </w:tcPr>
          <w:p>
            <w:r/>
            <w:r>
              <w:rPr>
                <w:sz w:val="19"/>
              </w:rPr>
              <w:t>Arrivée</w:t>
            </w:r>
          </w:p>
        </w:tc>
      </w:tr>
      <w:tr>
        <w:tc>
          <w:tcPr>
            <w:tcW w:type="dxa" w:w="2551"/>
          </w:tcPr>
          <w:p>
            <w:r/>
            <w:r>
              <w:rPr>
                <w:sz w:val="19"/>
              </w:rPr>
              <w:t>type</w:t>
            </w:r>
          </w:p>
        </w:tc>
        <w:tc>
          <w:tcPr>
            <w:tcW w:type="dxa" w:w="3685"/>
          </w:tcPr>
          <w:p>
            <w:r/>
            <w:r>
              <w:rPr>
                <w:sz w:val="19"/>
              </w:rPr>
              <w:t>Type de courrier (liste typesCourrier, voir annexe)</w:t>
            </w:r>
          </w:p>
        </w:tc>
        <w:tc>
          <w:tcPr>
            <w:tcW w:type="dxa" w:w="2835"/>
          </w:tcPr>
          <w:p>
            <w:r/>
            <w:r>
              <w:rPr>
                <w:sz w:val="19"/>
              </w:rPr>
              <w:t>Acte d'huissier</w:t>
            </w:r>
          </w:p>
        </w:tc>
      </w:tr>
      <w:tr>
        <w:tc>
          <w:tcPr>
            <w:tcW w:type="dxa" w:w="2551"/>
          </w:tcPr>
          <w:p>
            <w:r/>
            <w:r>
              <w:rPr>
                <w:sz w:val="19"/>
              </w:rPr>
              <w:t>corr / nat</w:t>
            </w:r>
          </w:p>
        </w:tc>
        <w:tc>
          <w:tcPr>
            <w:tcW w:type="dxa" w:w="3685"/>
          </w:tcPr>
          <w:p>
            <w:r/>
            <w:r>
              <w:rPr>
                <w:sz w:val="19"/>
              </w:rPr>
              <w:t>Correspondant et nature (liste natCorr, voir annexe)</w:t>
            </w:r>
          </w:p>
        </w:tc>
        <w:tc>
          <w:tcPr>
            <w:tcW w:type="dxa" w:w="2835"/>
          </w:tcPr>
          <w:p>
            <w:r/>
            <w:r>
              <w:rPr>
                <w:sz w:val="19"/>
              </w:rPr>
              <w:t>Me Diallo (huissier) / Huissier</w:t>
            </w:r>
          </w:p>
        </w:tc>
      </w:tr>
      <w:tr>
        <w:tc>
          <w:tcPr>
            <w:tcW w:type="dxa" w:w="2551"/>
          </w:tcPr>
          <w:p>
            <w:r/>
            <w:r>
              <w:rPr>
                <w:sz w:val="19"/>
              </w:rPr>
              <w:t>desc</w:t>
            </w:r>
          </w:p>
        </w:tc>
        <w:tc>
          <w:tcPr>
            <w:tcW w:type="dxa" w:w="3685"/>
          </w:tcPr>
          <w:p>
            <w:r/>
            <w:r>
              <w:rPr>
                <w:sz w:val="19"/>
              </w:rPr>
              <w:t>Description / partie concernée</w:t>
            </w:r>
          </w:p>
        </w:tc>
        <w:tc>
          <w:tcPr>
            <w:tcW w:type="dxa" w:w="2835"/>
          </w:tcPr>
          <w:p>
            <w:r/>
            <w:r>
              <w:rPr>
                <w:sz w:val="19"/>
              </w:rPr>
              <w:t>Signification du jugement — partie : Bâtir-SA</w:t>
            </w:r>
          </w:p>
        </w:tc>
      </w:tr>
      <w:tr>
        <w:tc>
          <w:tcPr>
            <w:tcW w:type="dxa" w:w="2551"/>
          </w:tcPr>
          <w:p>
            <w:r/>
            <w:r>
              <w:rPr>
                <w:sz w:val="19"/>
              </w:rPr>
              <w:t>dossier</w:t>
            </w:r>
          </w:p>
        </w:tc>
        <w:tc>
          <w:tcPr>
            <w:tcW w:type="dxa" w:w="3685"/>
          </w:tcPr>
          <w:p>
            <w:r/>
            <w:r>
              <w:rPr>
                <w:sz w:val="19"/>
              </w:rPr>
              <w:t>Dossier rattaché (optionnel)</w:t>
            </w:r>
          </w:p>
        </w:tc>
        <w:tc>
          <w:tcPr>
            <w:tcW w:type="dxa" w:w="2835"/>
          </w:tcPr>
          <w:p>
            <w:r/>
            <w:r>
              <w:rPr>
                <w:sz w:val="19"/>
              </w:rPr>
              <w:t>AFF-26-018</w:t>
            </w:r>
          </w:p>
        </w:tc>
      </w:tr>
      <w:tr>
        <w:tc>
          <w:tcPr>
            <w:tcW w:type="dxa" w:w="2551"/>
          </w:tcPr>
          <w:p>
            <w:r/>
            <w:r>
              <w:rPr>
                <w:sz w:val="19"/>
              </w:rPr>
              <w:t>numerise</w:t>
            </w:r>
          </w:p>
        </w:tc>
        <w:tc>
          <w:tcPr>
            <w:tcW w:type="dxa" w:w="3685"/>
          </w:tcPr>
          <w:p>
            <w:r/>
            <w:r>
              <w:rPr>
                <w:sz w:val="19"/>
              </w:rPr>
              <w:t>Classé en GED (booléen)</w:t>
            </w:r>
          </w:p>
        </w:tc>
        <w:tc>
          <w:tcPr>
            <w:tcW w:type="dxa" w:w="2835"/>
          </w:tcPr>
          <w:p>
            <w:r/>
            <w:r>
              <w:rPr>
                <w:sz w:val="19"/>
              </w:rPr>
              <w:t>false</w:t>
            </w:r>
          </w:p>
        </w:tc>
      </w:tr>
    </w:tbl>
    <w:p/>
    <w:p>
      <w:pPr>
        <w:pStyle w:val="Heading3"/>
      </w:pPr>
      <w:r>
        <w:t>Fonctionnalités et actions utilisateur</w:t>
      </w:r>
    </w:p>
    <w:p>
      <w:pPr>
        <w:pStyle w:val="ListBullet"/>
      </w:pPr>
      <w:r>
        <w:rPr>
          <w:sz w:val="21"/>
        </w:rPr>
        <w:t>Enregistrement d'un courrier (sens, type, nature du correspondant, correspondant, description, dossier).</w:t>
      </w:r>
    </w:p>
    <w:p>
      <w:pPr>
        <w:pStyle w:val="ListBullet"/>
      </w:pPr>
      <w:r>
        <w:rPr>
          <w:sz w:val="21"/>
        </w:rPr>
        <w:t>Numérisation : classement automatique en GED.</w:t>
      </w:r>
    </w:p>
    <w:p>
      <w:pPr>
        <w:pStyle w:val="ListBullet"/>
      </w:pPr>
      <w:r>
        <w:rPr>
          <w:sz w:val="21"/>
        </w:rPr>
        <w:t>Pour le courrier « Arrivée » : édition d'une fiche de transmission imprimable (façon « parapheur ») avec zones de visa, initiales du destinataire et instructions de l'avocat.</w:t>
      </w:r>
    </w:p>
    <w:p>
      <w:pPr>
        <w:pStyle w:val="ListBullet"/>
      </w:pPr>
      <w:r>
        <w:rPr>
          <w:sz w:val="21"/>
        </w:rPr>
        <w:t>Pour le courrier « Départ » : édition du courrier à en-tête du cabinet avec la référence intégrée.</w:t>
      </w:r>
    </w:p>
    <w:p>
      <w:pPr>
        <w:pStyle w:val="ListBullet"/>
      </w:pPr>
      <w:r>
        <w:rPr>
          <w:sz w:val="21"/>
        </w:rPr>
        <w:t>Action « Planifier » : proposition automatique d'un événement ou d'une diligence à créer selon le type de courrier, à valider par l'utilisateur.</w:t>
      </w:r>
    </w:p>
    <w:p>
      <w:pPr>
        <w:pStyle w:val="Heading3"/>
      </w:pPr>
      <w:r>
        <w:t>Règles de gestion</w:t>
      </w:r>
    </w:p>
    <w:p>
      <w:pPr>
        <w:pStyle w:val="ListBullet"/>
      </w:pPr>
      <w:r>
        <w:rPr>
          <w:sz w:val="21"/>
        </w:rPr>
        <w:t>La référence est générée automatiquement par séquence annuelle distincte pour l'arrivée (ARR-…) et le départ (DEP-…).</w:t>
      </w:r>
    </w:p>
    <w:p>
      <w:pPr>
        <w:pStyle w:val="ListBullet"/>
      </w:pPr>
      <w:r>
        <w:rPr>
          <w:sz w:val="21"/>
        </w:rPr>
        <w:t>Suggestions de déclenchement automatique selon le type de courrier : une assignation suggère une audience de mise en état (≈J+30) ; un acte d'huissier / signification suggère un délai de procédure (≈J+15) ; une décision de justice suggère un délai de recours (≈J+30) ; une convocation suggère une diligence à honorer (≈J+7).</w:t>
      </w:r>
    </w:p>
    <w:p>
      <w:pPr>
        <w:pStyle w:val="ListBullet"/>
      </w:pPr>
      <w:r>
        <w:rPr>
          <w:sz w:val="21"/>
        </w:rPr>
        <w:t>Tous les documents générés (fiche de transmission, courrier départ) portent l'en-tête du cabinet (logo, raison sociale, mentions).</w:t>
      </w:r>
    </w:p>
    <w:p>
      <w:pPr>
        <w:pStyle w:val="Heading2"/>
      </w:pPr>
      <w:r>
        <w:t>4.8 Atelier d'actes</w:t>
      </w:r>
    </w:p>
    <w:p>
      <w:pPr>
        <w:pStyle w:val="Heading3"/>
      </w:pPr>
      <w:r>
        <w:t>Objectif</w:t>
      </w:r>
    </w:p>
    <w:p>
      <w:r>
        <w:rPr>
          <w:b w:val="0"/>
          <w:i w:val="0"/>
          <w:sz w:val="21"/>
        </w:rPr>
        <w:t>Permettre la production d'actes juridiques selon deux voies complémentaires — un modèle existant de la bibliothèque documentaire (GED) ou un projet généré par l'assistant IA — avec des visas toujours à jour et une mise en forme à en-tête du cabinet.</w:t>
      </w:r>
    </w:p>
    <w:p>
      <w:pPr>
        <w:pStyle w:val="Heading3"/>
      </w:pPr>
      <w:r>
        <w:t>Données et entités</w:t>
      </w:r>
    </w:p>
    <w:p>
      <w:r>
        <w:rPr>
          <w:b/>
          <w:color w:val="1F2A44"/>
          <w:sz w:val="21"/>
        </w:rPr>
        <w:t>Modèle (bibliothèque GED)</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nom / categorie</w:t>
            </w:r>
          </w:p>
        </w:tc>
        <w:tc>
          <w:tcPr>
            <w:tcW w:type="dxa" w:w="3685"/>
          </w:tcPr>
          <w:p>
            <w:r/>
            <w:r>
              <w:rPr>
                <w:sz w:val="19"/>
              </w:rPr>
              <w:t>Identification du modèle</w:t>
            </w:r>
          </w:p>
        </w:tc>
        <w:tc>
          <w:tcPr>
            <w:tcW w:type="dxa" w:w="2835"/>
          </w:tcPr>
          <w:p>
            <w:r/>
            <w:r>
              <w:rPr>
                <w:sz w:val="19"/>
              </w:rPr>
              <w:t>Assignation / Acte de procédure</w:t>
            </w:r>
          </w:p>
        </w:tc>
      </w:tr>
      <w:tr>
        <w:tc>
          <w:tcPr>
            <w:tcW w:type="dxa" w:w="2551"/>
          </w:tcPr>
          <w:p>
            <w:r/>
            <w:r>
              <w:rPr>
                <w:sz w:val="19"/>
              </w:rPr>
              <w:t>statut de veille</w:t>
            </w:r>
          </w:p>
        </w:tc>
        <w:tc>
          <w:tcPr>
            <w:tcW w:type="dxa" w:w="3685"/>
          </w:tcPr>
          <w:p>
            <w:r/>
            <w:r>
              <w:rPr>
                <w:sz w:val="19"/>
              </w:rPr>
              <w:t>à jour / à revoir (suivi par la veille législative)</w:t>
            </w:r>
          </w:p>
        </w:tc>
        <w:tc>
          <w:tcPr>
            <w:tcW w:type="dxa" w:w="2835"/>
          </w:tcPr>
          <w:p>
            <w:r/>
            <w:r>
              <w:rPr>
                <w:sz w:val="19"/>
              </w:rPr>
              <w:t>à revoir</w:t>
            </w:r>
          </w:p>
        </w:tc>
      </w:tr>
    </w:tbl>
    <w:p/>
    <w:p>
      <w:r>
        <w:rPr>
          <w:b/>
          <w:color w:val="1F2A44"/>
          <w:sz w:val="21"/>
        </w:rPr>
        <w:t>Acte produit (draft IA)</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type</w:t>
            </w:r>
          </w:p>
        </w:tc>
        <w:tc>
          <w:tcPr>
            <w:tcW w:type="dxa" w:w="3685"/>
          </w:tcPr>
          <w:p>
            <w:r/>
            <w:r>
              <w:rPr>
                <w:sz w:val="19"/>
              </w:rPr>
              <w:t>Type d'acte (catalogue TYPES_ACTE, 25 valeurs + Autre, voir annexe)</w:t>
            </w:r>
          </w:p>
        </w:tc>
        <w:tc>
          <w:tcPr>
            <w:tcW w:type="dxa" w:w="2835"/>
          </w:tcPr>
          <w:p>
            <w:r/>
            <w:r>
              <w:rPr>
                <w:sz w:val="19"/>
              </w:rPr>
              <w:t>Assignation</w:t>
            </w:r>
          </w:p>
        </w:tc>
      </w:tr>
      <w:tr>
        <w:tc>
          <w:tcPr>
            <w:tcW w:type="dxa" w:w="2551"/>
          </w:tcPr>
          <w:p>
            <w:r/>
            <w:r>
              <w:rPr>
                <w:sz w:val="19"/>
              </w:rPr>
              <w:t>dossier</w:t>
            </w:r>
          </w:p>
        </w:tc>
        <w:tc>
          <w:tcPr>
            <w:tcW w:type="dxa" w:w="3685"/>
          </w:tcPr>
          <w:p>
            <w:r/>
            <w:r>
              <w:rPr>
                <w:sz w:val="19"/>
              </w:rPr>
              <w:t>Dossier rattaché — nullable : un acte peut être « indépendant » et rattaché plus tard</w:t>
            </w:r>
          </w:p>
        </w:tc>
        <w:tc>
          <w:tcPr>
            <w:tcW w:type="dxa" w:w="2835"/>
          </w:tcPr>
          <w:p>
            <w:r/>
            <w:r>
              <w:rPr>
                <w:sz w:val="19"/>
              </w:rPr>
              <w:t>AFF-26-018 ou vide</w:t>
            </w:r>
          </w:p>
        </w:tc>
      </w:tr>
      <w:tr>
        <w:tc>
          <w:tcPr>
            <w:tcW w:type="dxa" w:w="2551"/>
          </w:tcPr>
          <w:p>
            <w:r/>
            <w:r>
              <w:rPr>
                <w:sz w:val="19"/>
              </w:rPr>
              <w:t>visas</w:t>
            </w:r>
          </w:p>
        </w:tc>
        <w:tc>
          <w:tcPr>
            <w:tcW w:type="dxa" w:w="3685"/>
          </w:tcPr>
          <w:p>
            <w:r/>
            <w:r>
              <w:rPr>
                <w:sz w:val="19"/>
              </w:rPr>
              <w:t>Visas des textes applicables, déterminés selon le type d'acte</w:t>
            </w:r>
          </w:p>
        </w:tc>
        <w:tc>
          <w:tcPr>
            <w:tcW w:type="dxa" w:w="2835"/>
          </w:tcPr>
          <w:p>
            <w:r/>
            <w:r>
              <w:rPr>
                <w:sz w:val="19"/>
              </w:rPr>
              <w:t>Vu le Code de procédure civile ; Vu l'Acte uniforme OHADA applicable…</w:t>
            </w:r>
          </w:p>
        </w:tc>
      </w:tr>
      <w:tr>
        <w:tc>
          <w:tcPr>
            <w:tcW w:type="dxa" w:w="2551"/>
          </w:tcPr>
          <w:p>
            <w:r/>
            <w:r>
              <w:rPr>
                <w:sz w:val="19"/>
              </w:rPr>
              <w:t>statut</w:t>
            </w:r>
          </w:p>
        </w:tc>
        <w:tc>
          <w:tcPr>
            <w:tcW w:type="dxa" w:w="3685"/>
          </w:tcPr>
          <w:p>
            <w:r/>
            <w:r>
              <w:rPr>
                <w:sz w:val="19"/>
              </w:rPr>
              <w:t>Brouillon / à valider / finalisé</w:t>
            </w:r>
          </w:p>
        </w:tc>
        <w:tc>
          <w:tcPr>
            <w:tcW w:type="dxa" w:w="2835"/>
          </w:tcPr>
          <w:p>
            <w:r/>
            <w:r>
              <w:rPr>
                <w:sz w:val="19"/>
              </w:rPr>
              <w:t>Brouillon</w:t>
            </w:r>
          </w:p>
        </w:tc>
      </w:tr>
    </w:tbl>
    <w:p/>
    <w:p>
      <w:pPr>
        <w:pStyle w:val="Heading3"/>
      </w:pPr>
      <w:r>
        <w:t>Fonctionnalités et actions utilisateur</w:t>
      </w:r>
    </w:p>
    <w:p>
      <w:pPr>
        <w:pStyle w:val="ListBullet"/>
      </w:pPr>
      <w:r>
        <w:rPr>
          <w:sz w:val="21"/>
        </w:rPr>
        <w:t>Voie ① — Modèle GED : Ouvrir, Modifier, Finaliser un modèle existant (versionné, classé en GED une fois finalisé).</w:t>
      </w:r>
    </w:p>
    <w:p>
      <w:pPr>
        <w:pStyle w:val="ListBullet"/>
      </w:pPr>
      <w:r>
        <w:rPr>
          <w:sz w:val="21"/>
        </w:rPr>
        <w:t>Voie ② — Draft IA : sélection du type d'acte (avec précision libre si « Autre ») et, optionnellement, du dossier de rattachement ; génération d'un projet avec visas, contexte du dossier et corps à compléter.</w:t>
      </w:r>
    </w:p>
    <w:p>
      <w:pPr>
        <w:pStyle w:val="ListBullet"/>
      </w:pPr>
      <w:r>
        <w:rPr>
          <w:sz w:val="21"/>
        </w:rPr>
        <w:t>Aperçu à en-tête du cabinet, impression, et classement du projet généré en GED (rattaché au dossier ou en attente de rattachement si acte indépendant).</w:t>
      </w:r>
    </w:p>
    <w:p>
      <w:pPr>
        <w:pStyle w:val="Heading3"/>
      </w:pPr>
      <w:r>
        <w:t>Règles de gestion</w:t>
      </w:r>
    </w:p>
    <w:p>
      <w:pPr>
        <w:pStyle w:val="ListBullet"/>
      </w:pPr>
      <w:r>
        <w:rPr>
          <w:sz w:val="21"/>
        </w:rPr>
        <w:t>Un acte peut être produit sans dossier rattaché (« acte indépendant »), à rattacher ultérieurement.</w:t>
      </w:r>
    </w:p>
    <w:p>
      <w:pPr>
        <w:pStyle w:val="ListBullet"/>
      </w:pPr>
      <w:r>
        <w:rPr>
          <w:sz w:val="21"/>
        </w:rPr>
        <w:t>Les visas sont déterminés automatiquement selon la nature de l'acte (procédure civile / OHADA, pénal, droit des sociétés OHADA, contrats, voies de recours) et maintenus à jour par la veille législative.</w:t>
      </w:r>
    </w:p>
    <w:p>
      <w:pPr>
        <w:pStyle w:val="ListBullet"/>
      </w:pPr>
      <w:r>
        <w:rPr>
          <w:sz w:val="21"/>
        </w:rPr>
        <w:t>Toute production de l'assistant IA reste un « projet à valider » par l'avocat ; seuls les modèles validés font foi.</w:t>
      </w:r>
    </w:p>
    <w:p>
      <w:pPr>
        <w:pStyle w:val="ListBullet"/>
      </w:pPr>
      <w:r>
        <w:rPr>
          <w:sz w:val="21"/>
        </w:rPr>
        <w:t>Le catalogue des types d'actes est large et se termine par « Autre » (assignation, requête, conclusions, mémoire, plainte, PV d'AG, statuts, contrat, convention…).</w:t>
      </w:r>
    </w:p>
    <w:p>
      <w:pPr>
        <w:pStyle w:val="Heading2"/>
      </w:pPr>
      <w:r>
        <w:t>4.9 Bibliothèque</w:t>
      </w:r>
    </w:p>
    <w:p>
      <w:pPr>
        <w:pStyle w:val="Heading3"/>
      </w:pPr>
      <w:r>
        <w:t>Objectif</w:t>
      </w:r>
    </w:p>
    <w:p>
      <w:r>
        <w:rPr>
          <w:b w:val="0"/>
          <w:i w:val="0"/>
          <w:sz w:val="21"/>
        </w:rPr>
        <w:t>Mettre à disposition une base documentaire juridique interne couvrant la jurisprudence, les textes de loi, la veille législative, les modèles d'actes, les consultations anonymisées et les checklists, utilisée notamment par l'Atelier d'actes.</w:t>
      </w:r>
    </w:p>
    <w:p>
      <w:pPr>
        <w:pStyle w:val="Heading3"/>
      </w:pPr>
      <w:r>
        <w:t>Données et entités</w:t>
      </w:r>
    </w:p>
    <w:p>
      <w:r>
        <w:rPr>
          <w:b/>
          <w:color w:val="1F2A44"/>
          <w:sz w:val="21"/>
        </w:rPr>
        <w:t>Ressource documentaire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type</w:t>
            </w:r>
          </w:p>
        </w:tc>
        <w:tc>
          <w:tcPr>
            <w:tcW w:type="dxa" w:w="3685"/>
          </w:tcPr>
          <w:p>
            <w:r/>
            <w:r>
              <w:rPr>
                <w:sz w:val="19"/>
              </w:rPr>
              <w:t>Jurisprudence / Texte de loi / Veille / Modèle / Consultation / Checklist</w:t>
            </w:r>
          </w:p>
        </w:tc>
        <w:tc>
          <w:tcPr>
            <w:tcW w:type="dxa" w:w="2835"/>
          </w:tcPr>
          <w:p>
            <w:r/>
            <w:r>
              <w:rPr>
                <w:sz w:val="19"/>
              </w:rPr>
              <w:t>Jurisprudence</w:t>
            </w:r>
          </w:p>
        </w:tc>
      </w:tr>
      <w:tr>
        <w:tc>
          <w:tcPr>
            <w:tcW w:type="dxa" w:w="2551"/>
          </w:tcPr>
          <w:p>
            <w:r/>
            <w:r>
              <w:rPr>
                <w:sz w:val="19"/>
              </w:rPr>
              <w:t>titre / ref</w:t>
            </w:r>
          </w:p>
        </w:tc>
        <w:tc>
          <w:tcPr>
            <w:tcW w:type="dxa" w:w="3685"/>
          </w:tcPr>
          <w:p>
            <w:r/>
            <w:r>
              <w:rPr>
                <w:sz w:val="19"/>
              </w:rPr>
              <w:t>Intitulé et référence</w:t>
            </w:r>
          </w:p>
        </w:tc>
        <w:tc>
          <w:tcPr>
            <w:tcW w:type="dxa" w:w="2835"/>
          </w:tcPr>
          <w:p>
            <w:r/>
            <w:r>
              <w:rPr>
                <w:sz w:val="19"/>
              </w:rPr>
              <w:t>CCJA, arrêt n°045/2020 — réalisation des sûretés</w:t>
            </w:r>
          </w:p>
        </w:tc>
      </w:tr>
      <w:tr>
        <w:tc>
          <w:tcPr>
            <w:tcW w:type="dxa" w:w="2551"/>
          </w:tcPr>
          <w:p>
            <w:r/>
            <w:r>
              <w:rPr>
                <w:sz w:val="19"/>
              </w:rPr>
              <w:t>source</w:t>
            </w:r>
          </w:p>
        </w:tc>
        <w:tc>
          <w:tcPr>
            <w:tcW w:type="dxa" w:w="3685"/>
          </w:tcPr>
          <w:p>
            <w:r/>
            <w:r>
              <w:rPr>
                <w:sz w:val="19"/>
              </w:rPr>
              <w:t>OHADA / National / Interne</w:t>
            </w:r>
          </w:p>
        </w:tc>
        <w:tc>
          <w:tcPr>
            <w:tcW w:type="dxa" w:w="2835"/>
          </w:tcPr>
          <w:p>
            <w:r/>
            <w:r>
              <w:rPr>
                <w:sz w:val="19"/>
              </w:rPr>
              <w:t>OHADA</w:t>
            </w:r>
          </w:p>
        </w:tc>
      </w:tr>
      <w:tr>
        <w:tc>
          <w:tcPr>
            <w:tcW w:type="dxa" w:w="2551"/>
          </w:tcPr>
          <w:p>
            <w:r/>
            <w:r>
              <w:rPr>
                <w:sz w:val="19"/>
              </w:rPr>
              <w:t>matiere / date</w:t>
            </w:r>
          </w:p>
        </w:tc>
        <w:tc>
          <w:tcPr>
            <w:tcW w:type="dxa" w:w="3685"/>
          </w:tcPr>
          <w:p>
            <w:r/>
            <w:r>
              <w:rPr>
                <w:sz w:val="19"/>
              </w:rPr>
              <w:t>Classement thématique et date</w:t>
            </w:r>
          </w:p>
        </w:tc>
        <w:tc>
          <w:tcPr>
            <w:tcW w:type="dxa" w:w="2835"/>
          </w:tcPr>
          <w:p>
            <w:r/>
            <w:r>
              <w:rPr>
                <w:sz w:val="19"/>
              </w:rPr>
              <w:t>Sûretés / 2020</w:t>
            </w:r>
          </w:p>
        </w:tc>
      </w:tr>
    </w:tbl>
    <w:p/>
    <w:p>
      <w:pPr>
        <w:pStyle w:val="Heading3"/>
      </w:pPr>
      <w:r>
        <w:t>Fonctionnalités et actions utilisateur</w:t>
      </w:r>
    </w:p>
    <w:p>
      <w:pPr>
        <w:pStyle w:val="ListBullet"/>
      </w:pPr>
      <w:r>
        <w:rPr>
          <w:sz w:val="21"/>
        </w:rPr>
        <w:t>Recherche/filtre en direct sur le titre, la matière, le type et la source.</w:t>
      </w:r>
    </w:p>
    <w:p>
      <w:pPr>
        <w:pStyle w:val="Heading3"/>
      </w:pPr>
      <w:r>
        <w:t>Règles de gestion</w:t>
      </w:r>
    </w:p>
    <w:p>
      <w:pPr>
        <w:pStyle w:val="ListBullet"/>
      </w:pPr>
      <w:r>
        <w:rPr>
          <w:sz w:val="21"/>
        </w:rPr>
        <w:t>Inclut une veille législative automatique (Journal Officiel du Mali, Actes uniformes OHADA, textes UEMOA) qui signale les modèles d'actes à mettre à jour dans l'Atelier d'actes.</w:t>
      </w:r>
    </w:p>
    <w:p>
      <w:pPr>
        <w:pStyle w:val="Heading2"/>
      </w:pPr>
      <w:r>
        <w:t>4.10 Plan d'action</w:t>
      </w:r>
    </w:p>
    <w:p>
      <w:pPr>
        <w:pStyle w:val="Heading3"/>
      </w:pPr>
      <w:r>
        <w:t>Objectif</w:t>
      </w:r>
    </w:p>
    <w:p>
      <w:r>
        <w:rPr>
          <w:b w:val="0"/>
          <w:i w:val="0"/>
          <w:sz w:val="21"/>
        </w:rPr>
        <w:t>Suivre l'avancement des tâches du cabinet (personnelles ou liées à un dossier) selon un tableau kanban simple.</w:t>
      </w:r>
    </w:p>
    <w:p>
      <w:pPr>
        <w:pStyle w:val="Heading3"/>
      </w:pPr>
      <w:r>
        <w:t>Données et entités</w:t>
      </w:r>
    </w:p>
    <w:p>
      <w:r>
        <w:rPr>
          <w:b/>
          <w:color w:val="1F2A44"/>
          <w:sz w:val="21"/>
        </w:rPr>
        <w:t>Tâche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titre</w:t>
            </w:r>
          </w:p>
        </w:tc>
        <w:tc>
          <w:tcPr>
            <w:tcW w:type="dxa" w:w="3685"/>
          </w:tcPr>
          <w:p>
            <w:r/>
            <w:r>
              <w:rPr>
                <w:sz w:val="19"/>
              </w:rPr>
              <w:t>Intitulé de la tâche</w:t>
            </w:r>
          </w:p>
        </w:tc>
        <w:tc>
          <w:tcPr>
            <w:tcW w:type="dxa" w:w="2835"/>
          </w:tcPr>
          <w:p>
            <w:r/>
            <w:r>
              <w:rPr>
                <w:sz w:val="19"/>
              </w:rPr>
              <w:t>Finaliser conclusions — SODIMA</w:t>
            </w:r>
          </w:p>
        </w:tc>
      </w:tr>
      <w:tr>
        <w:tc>
          <w:tcPr>
            <w:tcW w:type="dxa" w:w="2551"/>
          </w:tcPr>
          <w:p>
            <w:r/>
            <w:r>
              <w:rPr>
                <w:sz w:val="19"/>
              </w:rPr>
              <w:t>dossier</w:t>
            </w:r>
          </w:p>
        </w:tc>
        <w:tc>
          <w:tcPr>
            <w:tcW w:type="dxa" w:w="3685"/>
          </w:tcPr>
          <w:p>
            <w:r/>
            <w:r>
              <w:rPr>
                <w:sz w:val="19"/>
              </w:rPr>
              <w:t>Dossier rattaché (optionnel)</w:t>
            </w:r>
          </w:p>
        </w:tc>
        <w:tc>
          <w:tcPr>
            <w:tcW w:type="dxa" w:w="2835"/>
          </w:tcPr>
          <w:p>
            <w:r/>
            <w:r>
              <w:rPr>
                <w:sz w:val="19"/>
              </w:rPr>
              <w:t>AFF-26-018</w:t>
            </w:r>
          </w:p>
        </w:tc>
      </w:tr>
      <w:tr>
        <w:tc>
          <w:tcPr>
            <w:tcW w:type="dxa" w:w="2551"/>
          </w:tcPr>
          <w:p>
            <w:r/>
            <w:r>
              <w:rPr>
                <w:sz w:val="19"/>
              </w:rPr>
              <w:t>statut</w:t>
            </w:r>
          </w:p>
        </w:tc>
        <w:tc>
          <w:tcPr>
            <w:tcW w:type="dxa" w:w="3685"/>
          </w:tcPr>
          <w:p>
            <w:r/>
            <w:r>
              <w:rPr>
                <w:sz w:val="19"/>
              </w:rPr>
              <w:t>À faire / En cours / À valider / Terminé</w:t>
            </w:r>
          </w:p>
        </w:tc>
        <w:tc>
          <w:tcPr>
            <w:tcW w:type="dxa" w:w="2835"/>
          </w:tcPr>
          <w:p>
            <w:r/>
            <w:r>
              <w:rPr>
                <w:sz w:val="19"/>
              </w:rPr>
              <w:t>en_cours</w:t>
            </w:r>
          </w:p>
        </w:tc>
      </w:tr>
    </w:tbl>
    <w:p/>
    <w:p>
      <w:pPr>
        <w:pStyle w:val="Heading3"/>
      </w:pPr>
      <w:r>
        <w:t>Fonctionnalités et actions utilisateur</w:t>
      </w:r>
    </w:p>
    <w:p>
      <w:pPr>
        <w:pStyle w:val="ListBullet"/>
      </w:pPr>
      <w:r>
        <w:rPr>
          <w:sz w:val="21"/>
        </w:rPr>
        <w:t>Ajout rapide d'une nouvelle tâche.</w:t>
      </w:r>
    </w:p>
    <w:p>
      <w:pPr>
        <w:pStyle w:val="ListBullet"/>
      </w:pPr>
      <w:r>
        <w:rPr>
          <w:sz w:val="21"/>
        </w:rPr>
        <w:t>Avancement d'une tâche d'une colonne à la suivante (« Avancer → » ou « Valider ✓ » pour la colonne « À valider »).</w:t>
      </w:r>
    </w:p>
    <w:p>
      <w:pPr>
        <w:pStyle w:val="Heading3"/>
      </w:pPr>
      <w:r>
        <w:t>Règles de gestion</w:t>
      </w:r>
    </w:p>
    <w:p>
      <w:pPr>
        <w:pStyle w:val="ListBullet"/>
      </w:pPr>
      <w:r>
        <w:rPr>
          <w:sz w:val="21"/>
        </w:rPr>
        <w:t>Workflow linéaire à 4 statuts : à faire → en cours → à valider → terminé.</w:t>
      </w:r>
    </w:p>
    <w:p>
      <w:pPr>
        <w:pStyle w:val="ListBullet"/>
      </w:pPr>
      <w:r>
        <w:rPr>
          <w:sz w:val="21"/>
        </w:rPr>
        <w:t>Les tâches générées automatiquement à l'ouverture d'un dossier (lettre de mission, KYC, constitution du dossier) apparaissent dans ce module.</w:t>
      </w:r>
    </w:p>
    <w:p>
      <w:pPr>
        <w:pStyle w:val="Heading2"/>
      </w:pPr>
      <w:r>
        <w:t>4.11 Chrono &amp; Facturation</w:t>
      </w:r>
    </w:p>
    <w:p>
      <w:pPr>
        <w:pStyle w:val="Heading3"/>
      </w:pPr>
      <w:r>
        <w:t>Objectif</w:t>
      </w:r>
    </w:p>
    <w:p>
      <w:r>
        <w:rPr>
          <w:b w:val="0"/>
          <w:i w:val="0"/>
          <w:sz w:val="21"/>
        </w:rPr>
        <w:t>Éditer automatiquement les factures et notes de frais du cabinet, avec calcul de la TVA selon la localisation du client, gestion multi-devises et suivi des impayés jusqu'à l'encaissement.</w:t>
      </w:r>
    </w:p>
    <w:p>
      <w:pPr>
        <w:pStyle w:val="Heading3"/>
      </w:pPr>
      <w:r>
        <w:t>Données et entités</w:t>
      </w:r>
    </w:p>
    <w:p>
      <w:r>
        <w:rPr>
          <w:b/>
          <w:color w:val="1F2A44"/>
          <w:sz w:val="21"/>
        </w:rPr>
        <w:t>Facture / note de frais</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numero</w:t>
            </w:r>
          </w:p>
        </w:tc>
        <w:tc>
          <w:tcPr>
            <w:tcW w:type="dxa" w:w="3685"/>
          </w:tcPr>
          <w:p>
            <w:r/>
            <w:r>
              <w:rPr>
                <w:sz w:val="19"/>
              </w:rPr>
              <w:t>Référence auto-générée (F-26-… / NF-26-…)</w:t>
            </w:r>
          </w:p>
        </w:tc>
        <w:tc>
          <w:tcPr>
            <w:tcW w:type="dxa" w:w="2835"/>
          </w:tcPr>
          <w:p>
            <w:r/>
            <w:r>
              <w:rPr>
                <w:sz w:val="19"/>
              </w:rPr>
              <w:t>F-26-101</w:t>
            </w:r>
          </w:p>
        </w:tc>
      </w:tr>
      <w:tr>
        <w:tc>
          <w:tcPr>
            <w:tcW w:type="dxa" w:w="2551"/>
          </w:tcPr>
          <w:p>
            <w:r/>
            <w:r>
              <w:rPr>
                <w:sz w:val="19"/>
              </w:rPr>
              <w:t>client / dossier</w:t>
            </w:r>
          </w:p>
        </w:tc>
        <w:tc>
          <w:tcPr>
            <w:tcW w:type="dxa" w:w="3685"/>
          </w:tcPr>
          <w:p>
            <w:r/>
            <w:r>
              <w:rPr>
                <w:sz w:val="19"/>
              </w:rPr>
              <w:t>Rattachement</w:t>
            </w:r>
          </w:p>
        </w:tc>
        <w:tc>
          <w:tcPr>
            <w:tcW w:type="dxa" w:w="2835"/>
          </w:tcPr>
          <w:p>
            <w:r/>
            <w:r>
              <w:rPr>
                <w:sz w:val="19"/>
              </w:rPr>
              <w:t>SODIMA Sarl / AFF-26-018</w:t>
            </w:r>
          </w:p>
        </w:tc>
      </w:tr>
      <w:tr>
        <w:tc>
          <w:tcPr>
            <w:tcW w:type="dxa" w:w="2551"/>
          </w:tcPr>
          <w:p>
            <w:r/>
            <w:r>
              <w:rPr>
                <w:sz w:val="19"/>
              </w:rPr>
              <w:t>mode</w:t>
            </w:r>
          </w:p>
        </w:tc>
        <w:tc>
          <w:tcPr>
            <w:tcW w:type="dxa" w:w="3685"/>
          </w:tcPr>
          <w:p>
            <w:r/>
            <w:r>
              <w:rPr>
                <w:sz w:val="19"/>
              </w:rPr>
              <w:t>Temps passé / Forfait / Success fee / Abonnement / Consultation / Provision</w:t>
            </w:r>
          </w:p>
        </w:tc>
        <w:tc>
          <w:tcPr>
            <w:tcW w:type="dxa" w:w="2835"/>
          </w:tcPr>
          <w:p>
            <w:r/>
            <w:r>
              <w:rPr>
                <w:sz w:val="19"/>
              </w:rPr>
              <w:t>Provision</w:t>
            </w:r>
          </w:p>
        </w:tc>
      </w:tr>
      <w:tr>
        <w:tc>
          <w:tcPr>
            <w:tcW w:type="dxa" w:w="2551"/>
          </w:tcPr>
          <w:p>
            <w:r/>
            <w:r>
              <w:rPr>
                <w:sz w:val="19"/>
              </w:rPr>
              <w:t>ht / ttc</w:t>
            </w:r>
          </w:p>
        </w:tc>
        <w:tc>
          <w:tcPr>
            <w:tcW w:type="dxa" w:w="3685"/>
          </w:tcPr>
          <w:p>
            <w:r/>
            <w:r>
              <w:rPr>
                <w:sz w:val="19"/>
              </w:rPr>
              <w:t>Montants hors taxe et toutes taxes comprises (FCFA)</w:t>
            </w:r>
          </w:p>
        </w:tc>
        <w:tc>
          <w:tcPr>
            <w:tcW w:type="dxa" w:w="2835"/>
          </w:tcPr>
          <w:p>
            <w:r/>
            <w:r>
              <w:rPr>
                <w:sz w:val="19"/>
              </w:rPr>
              <w:t>1 500 000 / 1 770 000</w:t>
            </w:r>
          </w:p>
        </w:tc>
      </w:tr>
      <w:tr>
        <w:tc>
          <w:tcPr>
            <w:tcW w:type="dxa" w:w="2551"/>
          </w:tcPr>
          <w:p>
            <w:r/>
            <w:r>
              <w:rPr>
                <w:sz w:val="19"/>
              </w:rPr>
              <w:t>statut</w:t>
            </w:r>
          </w:p>
        </w:tc>
        <w:tc>
          <w:tcPr>
            <w:tcW w:type="dxa" w:w="3685"/>
          </w:tcPr>
          <w:p>
            <w:r/>
            <w:r>
              <w:rPr>
                <w:sz w:val="19"/>
              </w:rPr>
              <w:t>émise / payée</w:t>
            </w:r>
          </w:p>
        </w:tc>
        <w:tc>
          <w:tcPr>
            <w:tcW w:type="dxa" w:w="2835"/>
          </w:tcPr>
          <w:p>
            <w:r/>
            <w:r>
              <w:rPr>
                <w:sz w:val="19"/>
              </w:rPr>
              <w:t>payee</w:t>
            </w:r>
          </w:p>
        </w:tc>
      </w:tr>
      <w:tr>
        <w:tc>
          <w:tcPr>
            <w:tcW w:type="dxa" w:w="2551"/>
          </w:tcPr>
          <w:p>
            <w:r/>
            <w:r>
              <w:rPr>
                <w:sz w:val="19"/>
              </w:rPr>
              <w:t>devise</w:t>
            </w:r>
          </w:p>
        </w:tc>
        <w:tc>
          <w:tcPr>
            <w:tcW w:type="dxa" w:w="3685"/>
          </w:tcPr>
          <w:p>
            <w:r/>
            <w:r>
              <w:rPr>
                <w:sz w:val="19"/>
              </w:rPr>
              <w:t>XOF (FCFA, pivot) / EUR / USD / GBP</w:t>
            </w:r>
          </w:p>
        </w:tc>
        <w:tc>
          <w:tcPr>
            <w:tcW w:type="dxa" w:w="2835"/>
          </w:tcPr>
          <w:p>
            <w:r/>
            <w:r>
              <w:rPr>
                <w:sz w:val="19"/>
              </w:rPr>
              <w:t>XOF</w:t>
            </w:r>
          </w:p>
        </w:tc>
      </w:tr>
      <w:tr>
        <w:tc>
          <w:tcPr>
            <w:tcW w:type="dxa" w:w="2551"/>
          </w:tcPr>
          <w:p>
            <w:r/>
            <w:r>
              <w:rPr>
                <w:sz w:val="19"/>
              </w:rPr>
              <w:t>reglement / compte</w:t>
            </w:r>
          </w:p>
        </w:tc>
        <w:tc>
          <w:tcPr>
            <w:tcW w:type="dxa" w:w="3685"/>
          </w:tcPr>
          <w:p>
            <w:r/>
            <w:r>
              <w:rPr>
                <w:sz w:val="19"/>
              </w:rPr>
              <w:t>Moyen de règlement et compte à créditer</w:t>
            </w:r>
          </w:p>
        </w:tc>
        <w:tc>
          <w:tcPr>
            <w:tcW w:type="dxa" w:w="2835"/>
          </w:tcPr>
          <w:p>
            <w:r/>
            <w:r>
              <w:rPr>
                <w:sz w:val="19"/>
              </w:rPr>
              <w:t>Virement / Compte fonctionnement</w:t>
            </w:r>
          </w:p>
        </w:tc>
      </w:tr>
    </w:tbl>
    <w:p/>
    <w:p>
      <w:pPr>
        <w:pStyle w:val="Heading3"/>
      </w:pPr>
      <w:r>
        <w:t>Fonctionnalités et actions utilisateur</w:t>
      </w:r>
    </w:p>
    <w:p>
      <w:pPr>
        <w:pStyle w:val="ListBullet"/>
      </w:pPr>
      <w:r>
        <w:rPr>
          <w:sz w:val="21"/>
        </w:rPr>
        <w:t>Formulaire d'édition : type de document (Facture / Note de frais), dossier, mode de facturation, montant HT des honoraires, devise, taux du jour (si devise étrangère), libellé principal (devise ou FCFA), moyen de règlement souhaité et compte à créditer, option d'inclusion des débours en attente pour le dossier.</w:t>
      </w:r>
    </w:p>
    <w:p>
      <w:pPr>
        <w:pStyle w:val="ListBullet"/>
      </w:pPr>
      <w:r>
        <w:rPr>
          <w:sz w:val="21"/>
        </w:rPr>
        <w:t>Aperçu de la facture générée : en-tête du cabinet, coordonnées du client, lignes honoraires et débours, total HT, TVA, total TTC, mentions légales.</w:t>
      </w:r>
    </w:p>
    <w:p>
      <w:pPr>
        <w:pStyle w:val="ListBullet"/>
      </w:pPr>
      <w:r>
        <w:rPr>
          <w:sz w:val="21"/>
        </w:rPr>
        <w:t>Suivi des factures impayées avec enregistrement de l'encaissement (moyen de paiement, compte crédité).</w:t>
      </w:r>
    </w:p>
    <w:p>
      <w:pPr>
        <w:pStyle w:val="ListBullet"/>
      </w:pPr>
      <w:r>
        <w:rPr>
          <w:sz w:val="21"/>
        </w:rPr>
        <w:t>Table de toutes les factures avec leur statut.</w:t>
      </w:r>
    </w:p>
    <w:p>
      <w:pPr>
        <w:pStyle w:val="Heading3"/>
      </w:pPr>
      <w:r>
        <w:t>Règles de gestion</w:t>
      </w:r>
    </w:p>
    <w:p>
      <w:pPr>
        <w:pStyle w:val="ListBullet"/>
      </w:pPr>
      <w:r>
        <w:rPr>
          <w:sz w:val="21"/>
        </w:rPr>
        <w:t>La TVA (18 %) s'applique selon la localisation et l'assujettissement du client (champ « assujetti ») : un client établi hors du Mali est hors champ et la facture est éditée sans TVA.</w:t>
      </w:r>
    </w:p>
    <w:p>
      <w:pPr>
        <w:pStyle w:val="ListBullet"/>
      </w:pPr>
      <w:r>
        <w:rPr>
          <w:sz w:val="21"/>
        </w:rPr>
        <w:t>Les débours ne sont pas soumis à la TVA et sont automatiquement marqués comme refacturés une fois portés sur une facture.</w:t>
      </w:r>
    </w:p>
    <w:p>
      <w:pPr>
        <w:pStyle w:val="ListBullet"/>
      </w:pPr>
      <w:r>
        <w:rPr>
          <w:sz w:val="21"/>
        </w:rPr>
        <w:t>Le FCFA (XOF) reste la devise pivot ; en EUR le taux est fixe et verrouillé (1 EUR = 655,957 FCFA) ; pour les autres devises (USD, GBP…), le taux du jour est saisi manuellement puis verrouillé à l'émission — une contre-valeur en FCFA est systématiquement calculée et affichée sur la facture.</w:t>
      </w:r>
    </w:p>
    <w:p>
      <w:pPr>
        <w:pStyle w:val="ListBullet"/>
      </w:pPr>
      <w:r>
        <w:rPr>
          <w:sz w:val="21"/>
        </w:rPr>
        <w:t>Le libellé principal de la facture (devise étrangère ou FCFA) est un choix explicite à l'édition ; il n'existe pas de moteur d'écart de change dans l'application.</w:t>
      </w:r>
    </w:p>
    <w:p>
      <w:pPr>
        <w:pStyle w:val="ListBullet"/>
      </w:pPr>
      <w:r>
        <w:rPr>
          <w:sz w:val="21"/>
        </w:rPr>
        <w:t>Chaque facture émise incrémente une séquence unique et porte les mentions légales du cabinet (délai de paiement, pénalités de retard, régime de TVA).</w:t>
      </w:r>
    </w:p>
    <w:p>
      <w:pPr>
        <w:pStyle w:val="Heading3"/>
      </w:pPr>
      <w:r>
        <w:t>Indicateurs (KPIs)</w:t>
      </w:r>
    </w:p>
    <w:p>
      <w:pPr>
        <w:pStyle w:val="ListBullet"/>
      </w:pPr>
      <w:r>
        <w:rPr>
          <w:sz w:val="21"/>
        </w:rPr>
        <w:t>Temps saisi (mois)</w:t>
      </w:r>
    </w:p>
    <w:p>
      <w:pPr>
        <w:pStyle w:val="ListBullet"/>
      </w:pPr>
      <w:r>
        <w:rPr>
          <w:sz w:val="21"/>
        </w:rPr>
        <w:t>Facturé HT (FCFA)</w:t>
      </w:r>
    </w:p>
    <w:p>
      <w:pPr>
        <w:pStyle w:val="ListBullet"/>
      </w:pPr>
      <w:r>
        <w:rPr>
          <w:sz w:val="21"/>
        </w:rPr>
        <w:t>Impayés TTC (FCFA)</w:t>
      </w:r>
    </w:p>
    <w:p>
      <w:pPr>
        <w:pStyle w:val="Heading2"/>
      </w:pPr>
      <w:r>
        <w:t>4.12 Dépenses &amp; caisse</w:t>
      </w:r>
    </w:p>
    <w:p>
      <w:pPr>
        <w:pStyle w:val="Heading3"/>
      </w:pPr>
      <w:r>
        <w:t>Objectif</w:t>
      </w:r>
    </w:p>
    <w:p>
      <w:r>
        <w:rPr>
          <w:b w:val="0"/>
          <w:i w:val="0"/>
          <w:sz w:val="21"/>
        </w:rPr>
        <w:t>Suivre les charges de fonctionnement du cabinet, les débours avancés pour le compte des clients (refacturables), la petite caisse mensuelle et le stock de vignettes de plaidoirie.</w:t>
      </w:r>
    </w:p>
    <w:p>
      <w:pPr>
        <w:pStyle w:val="Heading3"/>
      </w:pPr>
      <w:r>
        <w:t>Données et entités</w:t>
      </w:r>
    </w:p>
    <w:p>
      <w:r>
        <w:rPr>
          <w:b/>
          <w:color w:val="1F2A44"/>
          <w:sz w:val="21"/>
        </w:rPr>
        <w:t>Dépense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type</w:t>
            </w:r>
          </w:p>
        </w:tc>
        <w:tc>
          <w:tcPr>
            <w:tcW w:type="dxa" w:w="3685"/>
          </w:tcPr>
          <w:p>
            <w:r/>
            <w:r>
              <w:rPr>
                <w:sz w:val="19"/>
              </w:rPr>
              <w:t>Fixe / Ponctuelle</w:t>
            </w:r>
          </w:p>
        </w:tc>
        <w:tc>
          <w:tcPr>
            <w:tcW w:type="dxa" w:w="2835"/>
          </w:tcPr>
          <w:p>
            <w:r/>
            <w:r>
              <w:rPr>
                <w:sz w:val="19"/>
              </w:rPr>
              <w:t>Ponctuelle</w:t>
            </w:r>
          </w:p>
        </w:tc>
      </w:tr>
      <w:tr>
        <w:tc>
          <w:tcPr>
            <w:tcW w:type="dxa" w:w="2551"/>
          </w:tcPr>
          <w:p>
            <w:r/>
            <w:r>
              <w:rPr>
                <w:sz w:val="19"/>
              </w:rPr>
              <w:t>cat</w:t>
            </w:r>
          </w:p>
        </w:tc>
        <w:tc>
          <w:tcPr>
            <w:tcW w:type="dxa" w:w="3685"/>
          </w:tcPr>
          <w:p>
            <w:r/>
            <w:r>
              <w:rPr>
                <w:sz w:val="19"/>
              </w:rPr>
              <w:t>Catégorie (liste catDepense, 21 valeurs, voir annexe)</w:t>
            </w:r>
          </w:p>
        </w:tc>
        <w:tc>
          <w:tcPr>
            <w:tcW w:type="dxa" w:w="2835"/>
          </w:tcPr>
          <w:p>
            <w:r/>
            <w:r>
              <w:rPr>
                <w:sz w:val="19"/>
              </w:rPr>
              <w:t>Frais d'huissier (débours)</w:t>
            </w:r>
          </w:p>
        </w:tc>
      </w:tr>
      <w:tr>
        <w:tc>
          <w:tcPr>
            <w:tcW w:type="dxa" w:w="2551"/>
          </w:tcPr>
          <w:p>
            <w:r/>
            <w:r>
              <w:rPr>
                <w:sz w:val="19"/>
              </w:rPr>
              <w:t>lib / montant</w:t>
            </w:r>
          </w:p>
        </w:tc>
        <w:tc>
          <w:tcPr>
            <w:tcW w:type="dxa" w:w="3685"/>
          </w:tcPr>
          <w:p>
            <w:r/>
            <w:r>
              <w:rPr>
                <w:sz w:val="19"/>
              </w:rPr>
              <w:t>Libellé et montant (FCFA)</w:t>
            </w:r>
          </w:p>
        </w:tc>
        <w:tc>
          <w:tcPr>
            <w:tcW w:type="dxa" w:w="2835"/>
          </w:tcPr>
          <w:p>
            <w:r/>
            <w:r>
              <w:rPr>
                <w:sz w:val="19"/>
              </w:rPr>
              <w:t>Signification jugement — SODIMA / 75 000</w:t>
            </w:r>
          </w:p>
        </w:tc>
      </w:tr>
      <w:tr>
        <w:tc>
          <w:tcPr>
            <w:tcW w:type="dxa" w:w="2551"/>
          </w:tcPr>
          <w:p>
            <w:r/>
            <w:r>
              <w:rPr>
                <w:sz w:val="19"/>
              </w:rPr>
              <w:t>moyen / compte</w:t>
            </w:r>
          </w:p>
        </w:tc>
        <w:tc>
          <w:tcPr>
            <w:tcW w:type="dxa" w:w="3685"/>
          </w:tcPr>
          <w:p>
            <w:r/>
            <w:r>
              <w:rPr>
                <w:sz w:val="19"/>
              </w:rPr>
              <w:t>Moyen de paiement et compte débité</w:t>
            </w:r>
          </w:p>
        </w:tc>
        <w:tc>
          <w:tcPr>
            <w:tcW w:type="dxa" w:w="2835"/>
          </w:tcPr>
          <w:p>
            <w:r/>
            <w:r>
              <w:rPr>
                <w:sz w:val="19"/>
              </w:rPr>
              <w:t>Espèces / Espèces (caisse)</w:t>
            </w:r>
          </w:p>
        </w:tc>
      </w:tr>
      <w:tr>
        <w:tc>
          <w:tcPr>
            <w:tcW w:type="dxa" w:w="2551"/>
          </w:tcPr>
          <w:p>
            <w:r/>
            <w:r>
              <w:rPr>
                <w:sz w:val="19"/>
              </w:rPr>
              <w:t>debours</w:t>
            </w:r>
          </w:p>
        </w:tc>
        <w:tc>
          <w:tcPr>
            <w:tcW w:type="dxa" w:w="3685"/>
          </w:tcPr>
          <w:p>
            <w:r/>
            <w:r>
              <w:rPr>
                <w:sz w:val="19"/>
              </w:rPr>
              <w:t>Débours avancé pour un client (booléen) → refacturable</w:t>
            </w:r>
          </w:p>
        </w:tc>
        <w:tc>
          <w:tcPr>
            <w:tcW w:type="dxa" w:w="2835"/>
          </w:tcPr>
          <w:p>
            <w:r/>
            <w:r>
              <w:rPr>
                <w:sz w:val="19"/>
              </w:rPr>
              <w:t>true</w:t>
            </w:r>
          </w:p>
        </w:tc>
      </w:tr>
      <w:tr>
        <w:tc>
          <w:tcPr>
            <w:tcW w:type="dxa" w:w="2551"/>
          </w:tcPr>
          <w:p>
            <w:r/>
            <w:r>
              <w:rPr>
                <w:sz w:val="19"/>
              </w:rPr>
              <w:t>statut</w:t>
            </w:r>
          </w:p>
        </w:tc>
        <w:tc>
          <w:tcPr>
            <w:tcW w:type="dxa" w:w="3685"/>
          </w:tcPr>
          <w:p>
            <w:r/>
            <w:r>
              <w:rPr>
                <w:sz w:val="19"/>
              </w:rPr>
              <w:t>Soumise → Validée → Décaissée (ou Rejetée)</w:t>
            </w:r>
          </w:p>
        </w:tc>
        <w:tc>
          <w:tcPr>
            <w:tcW w:type="dxa" w:w="2835"/>
          </w:tcPr>
          <w:p>
            <w:r/>
            <w:r>
              <w:rPr>
                <w:sz w:val="19"/>
              </w:rPr>
              <w:t>Décaissée</w:t>
            </w:r>
          </w:p>
        </w:tc>
      </w:tr>
      <w:tr>
        <w:tc>
          <w:tcPr>
            <w:tcW w:type="dxa" w:w="2551"/>
          </w:tcPr>
          <w:p>
            <w:r/>
            <w:r>
              <w:rPr>
                <w:sz w:val="19"/>
              </w:rPr>
              <w:t>dossier / refacture</w:t>
            </w:r>
          </w:p>
        </w:tc>
        <w:tc>
          <w:tcPr>
            <w:tcW w:type="dxa" w:w="3685"/>
          </w:tcPr>
          <w:p>
            <w:r/>
            <w:r>
              <w:rPr>
                <w:sz w:val="19"/>
              </w:rPr>
              <w:t>Dossier concerné et indicateur de refacturation</w:t>
            </w:r>
          </w:p>
        </w:tc>
        <w:tc>
          <w:tcPr>
            <w:tcW w:type="dxa" w:w="2835"/>
          </w:tcPr>
          <w:p>
            <w:r/>
            <w:r>
              <w:rPr>
                <w:sz w:val="19"/>
              </w:rPr>
              <w:t>AFF-26-018 / false</w:t>
            </w:r>
          </w:p>
        </w:tc>
      </w:tr>
    </w:tbl>
    <w:p/>
    <w:p>
      <w:pPr>
        <w:pStyle w:val="Heading3"/>
      </w:pPr>
      <w:r>
        <w:t>Fonctionnalités et actions utilisateur</w:t>
      </w:r>
    </w:p>
    <w:p>
      <w:pPr>
        <w:pStyle w:val="ListBullet"/>
      </w:pPr>
      <w:r>
        <w:rPr>
          <w:sz w:val="21"/>
        </w:rPr>
        <w:t>Enregistrement d'une dépense (type, catégorie, libellé, montant, moyen, compte, dossier si débours).</w:t>
      </w:r>
    </w:p>
    <w:p>
      <w:pPr>
        <w:pStyle w:val="ListBullet"/>
      </w:pPr>
      <w:r>
        <w:rPr>
          <w:sz w:val="21"/>
        </w:rPr>
        <w:t>Circuit de validation en 3 étapes avec boutons dédiés : Valider, puis Décaisser.</w:t>
      </w:r>
    </w:p>
    <w:p>
      <w:pPr>
        <w:pStyle w:val="ListBullet"/>
      </w:pPr>
      <w:r>
        <w:rPr>
          <w:sz w:val="21"/>
        </w:rPr>
        <w:t>Table « Débours à refacturer au client » avec action « Porter sur note de frais ».</w:t>
      </w:r>
    </w:p>
    <w:p>
      <w:pPr>
        <w:pStyle w:val="ListBullet"/>
      </w:pPr>
      <w:r>
        <w:rPr>
          <w:sz w:val="21"/>
        </w:rPr>
        <w:t>Gestion du stock de vignettes de plaidoirie : approvisionnement et utilisation unitaire par dossier.</w:t>
      </w:r>
    </w:p>
    <w:p>
      <w:pPr>
        <w:pStyle w:val="Heading3"/>
      </w:pPr>
      <w:r>
        <w:t>Règles de gestion</w:t>
      </w:r>
    </w:p>
    <w:p>
      <w:pPr>
        <w:pStyle w:val="ListBullet"/>
      </w:pPr>
      <w:r>
        <w:rPr>
          <w:sz w:val="21"/>
        </w:rPr>
        <w:t>Deux natures de dépenses sont distinguées : les charges du cabinet (loyer, eau, électricité, voyage/hôtel de l'avocat…) et les débours avancés pour le client (huissier, notaire, formalités, consignation, vignette de plaidoirie…), ces derniers étant refacturables et alimentant la note de frais.</w:t>
      </w:r>
    </w:p>
    <w:p>
      <w:pPr>
        <w:pStyle w:val="ListBullet"/>
      </w:pPr>
      <w:r>
        <w:rPr>
          <w:sz w:val="21"/>
        </w:rPr>
        <w:t>Circuit de validation : l'administrateur soumet la dépense, le gérant la valide, la comptabilité la décaisse.</w:t>
      </w:r>
    </w:p>
    <w:p>
      <w:pPr>
        <w:pStyle w:val="ListBullet"/>
      </w:pPr>
      <w:r>
        <w:rPr>
          <w:sz w:val="21"/>
        </w:rPr>
        <w:t>Les vignettes de plaidoirie (10 000 FCFA l'unité) sont à la charge du client et donc refacturables.</w:t>
      </w:r>
    </w:p>
    <w:p>
      <w:pPr>
        <w:pStyle w:val="Heading3"/>
      </w:pPr>
      <w:r>
        <w:t>Indicateurs (KPIs)</w:t>
      </w:r>
    </w:p>
    <w:p>
      <w:pPr>
        <w:pStyle w:val="ListBullet"/>
      </w:pPr>
      <w:r>
        <w:rPr>
          <w:sz w:val="21"/>
        </w:rPr>
        <w:t>Charges du cabinet (FCFA)</w:t>
      </w:r>
    </w:p>
    <w:p>
      <w:pPr>
        <w:pStyle w:val="ListBullet"/>
      </w:pPr>
      <w:r>
        <w:rPr>
          <w:sz w:val="21"/>
        </w:rPr>
        <w:t>Débours avancés pour clients (FCFA)</w:t>
      </w:r>
    </w:p>
    <w:p>
      <w:pPr>
        <w:pStyle w:val="ListBullet"/>
      </w:pPr>
      <w:r>
        <w:rPr>
          <w:sz w:val="21"/>
        </w:rPr>
        <w:t>Petite caisse — dotation du mois</w:t>
      </w:r>
    </w:p>
    <w:p>
      <w:pPr>
        <w:pStyle w:val="ListBullet"/>
      </w:pPr>
      <w:r>
        <w:rPr>
          <w:sz w:val="21"/>
        </w:rPr>
        <w:t>Vignettes en stock</w:t>
      </w:r>
    </w:p>
    <w:p>
      <w:pPr>
        <w:pStyle w:val="Heading2"/>
      </w:pPr>
      <w:r>
        <w:t>4.13 Rétrocessions</w:t>
      </w:r>
    </w:p>
    <w:p>
      <w:pPr>
        <w:pStyle w:val="Heading3"/>
      </w:pPr>
      <w:r>
        <w:t>Objectif</w:t>
      </w:r>
    </w:p>
    <w:p>
      <w:r>
        <w:rPr>
          <w:b w:val="0"/>
          <w:i w:val="0"/>
          <w:sz w:val="21"/>
        </w:rPr>
        <w:t>Calculer et suivre les rétrocessions d'honoraires dues aux avocats et collaborateurs au titre de l'apport de dossiers, ainsi que le suivi des dossiers traités en Pro Bono.</w:t>
      </w:r>
    </w:p>
    <w:p>
      <w:pPr>
        <w:pStyle w:val="Heading3"/>
      </w:pPr>
      <w:r>
        <w:t>Données et entités</w:t>
      </w:r>
    </w:p>
    <w:p>
      <w:r>
        <w:rPr>
          <w:b/>
          <w:color w:val="1F2A44"/>
          <w:sz w:val="21"/>
        </w:rPr>
        <w:t>Rétrocession</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benef / qualite</w:t>
            </w:r>
          </w:p>
        </w:tc>
        <w:tc>
          <w:tcPr>
            <w:tcW w:type="dxa" w:w="3685"/>
          </w:tcPr>
          <w:p>
            <w:r/>
            <w:r>
              <w:rPr>
                <w:sz w:val="19"/>
              </w:rPr>
              <w:t>Bénéficiaire et qualité (barème, voir annexe)</w:t>
            </w:r>
          </w:p>
        </w:tc>
        <w:tc>
          <w:tcPr>
            <w:tcW w:type="dxa" w:w="2835"/>
          </w:tcPr>
          <w:p>
            <w:r/>
            <w:r>
              <w:rPr>
                <w:sz w:val="19"/>
              </w:rPr>
              <w:t>Me Konaté / Associé</w:t>
            </w:r>
          </w:p>
        </w:tc>
      </w:tr>
      <w:tr>
        <w:tc>
          <w:tcPr>
            <w:tcW w:type="dxa" w:w="2551"/>
          </w:tcPr>
          <w:p>
            <w:r/>
            <w:r>
              <w:rPr>
                <w:sz w:val="19"/>
              </w:rPr>
              <w:t>dossier / baseHT</w:t>
            </w:r>
          </w:p>
        </w:tc>
        <w:tc>
          <w:tcPr>
            <w:tcW w:type="dxa" w:w="3685"/>
          </w:tcPr>
          <w:p>
            <w:r/>
            <w:r>
              <w:rPr>
                <w:sz w:val="19"/>
              </w:rPr>
              <w:t>Dossier et base de calcul HT (FCFA)</w:t>
            </w:r>
          </w:p>
        </w:tc>
        <w:tc>
          <w:tcPr>
            <w:tcW w:type="dxa" w:w="2835"/>
          </w:tcPr>
          <w:p>
            <w:r/>
            <w:r>
              <w:rPr>
                <w:sz w:val="19"/>
              </w:rPr>
              <w:t>CON-26-045 / 1 500 000</w:t>
            </w:r>
          </w:p>
        </w:tc>
      </w:tr>
      <w:tr>
        <w:tc>
          <w:tcPr>
            <w:tcW w:type="dxa" w:w="2551"/>
          </w:tcPr>
          <w:p>
            <w:r/>
            <w:r>
              <w:rPr>
                <w:sz w:val="19"/>
              </w:rPr>
              <w:t>taux</w:t>
            </w:r>
          </w:p>
        </w:tc>
        <w:tc>
          <w:tcPr>
            <w:tcW w:type="dxa" w:w="3685"/>
          </w:tcPr>
          <w:p>
            <w:r/>
            <w:r>
              <w:rPr>
                <w:sz w:val="19"/>
              </w:rPr>
              <w:t>Taux applicable selon la qualité</w:t>
            </w:r>
          </w:p>
        </w:tc>
        <w:tc>
          <w:tcPr>
            <w:tcW w:type="dxa" w:w="2835"/>
          </w:tcPr>
          <w:p>
            <w:r/>
            <w:r>
              <w:rPr>
                <w:sz w:val="19"/>
              </w:rPr>
              <w:t>30 %</w:t>
            </w:r>
          </w:p>
        </w:tc>
      </w:tr>
      <w:tr>
        <w:tc>
          <w:tcPr>
            <w:tcW w:type="dxa" w:w="2551"/>
          </w:tcPr>
          <w:p>
            <w:r/>
            <w:r>
              <w:rPr>
                <w:sz w:val="19"/>
              </w:rPr>
              <w:t>honEnc</w:t>
            </w:r>
          </w:p>
        </w:tc>
        <w:tc>
          <w:tcPr>
            <w:tcW w:type="dxa" w:w="3685"/>
          </w:tcPr>
          <w:p>
            <w:r/>
            <w:r>
              <w:rPr>
                <w:sz w:val="19"/>
              </w:rPr>
              <w:t>Honoraires du dossier intégralement encaissés (booléen)</w:t>
            </w:r>
          </w:p>
        </w:tc>
        <w:tc>
          <w:tcPr>
            <w:tcW w:type="dxa" w:w="2835"/>
          </w:tcPr>
          <w:p>
            <w:r/>
            <w:r>
              <w:rPr>
                <w:sz w:val="19"/>
              </w:rPr>
              <w:t>true</w:t>
            </w:r>
          </w:p>
        </w:tc>
      </w:tr>
      <w:tr>
        <w:tc>
          <w:tcPr>
            <w:tcW w:type="dxa" w:w="2551"/>
          </w:tcPr>
          <w:p>
            <w:r/>
            <w:r>
              <w:rPr>
                <w:sz w:val="19"/>
              </w:rPr>
              <w:t>statut</w:t>
            </w:r>
          </w:p>
        </w:tc>
        <w:tc>
          <w:tcPr>
            <w:tcW w:type="dxa" w:w="3685"/>
          </w:tcPr>
          <w:p>
            <w:r/>
            <w:r>
              <w:rPr>
                <w:sz w:val="19"/>
              </w:rPr>
              <w:t>En attente d'encaissement → À décaisser → Payée</w:t>
            </w:r>
          </w:p>
        </w:tc>
        <w:tc>
          <w:tcPr>
            <w:tcW w:type="dxa" w:w="2835"/>
          </w:tcPr>
          <w:p>
            <w:r/>
            <w:r>
              <w:rPr>
                <w:sz w:val="19"/>
              </w:rPr>
              <w:t>a_decaisser</w:t>
            </w:r>
          </w:p>
        </w:tc>
      </w:tr>
    </w:tbl>
    <w:p/>
    <w:p>
      <w:pPr>
        <w:pStyle w:val="Heading3"/>
      </w:pPr>
      <w:r>
        <w:t>Fonctionnalités et actions utilisateur</w:t>
      </w:r>
    </w:p>
    <w:p>
      <w:pPr>
        <w:pStyle w:val="ListBullet"/>
      </w:pPr>
      <w:r>
        <w:rPr>
          <w:sz w:val="21"/>
        </w:rPr>
        <w:t>Table des rétrocessions par dossier, avec montant calculé automatiquement (base HT × taux) et statut.</w:t>
      </w:r>
    </w:p>
    <w:p>
      <w:pPr>
        <w:pStyle w:val="ListBullet"/>
      </w:pPr>
      <w:r>
        <w:rPr>
          <w:sz w:val="21"/>
        </w:rPr>
        <w:t>Action « Marquer honoraires encaissés » (fait passer le statut en « à décaisser »).</w:t>
      </w:r>
    </w:p>
    <w:p>
      <w:pPr>
        <w:pStyle w:val="ListBullet"/>
      </w:pPr>
      <w:r>
        <w:rPr>
          <w:sz w:val="21"/>
        </w:rPr>
        <w:t>Action « Valider le décaissement » (fait passer le statut en « payée »).</w:t>
      </w:r>
    </w:p>
    <w:p>
      <w:pPr>
        <w:pStyle w:val="ListBullet"/>
      </w:pPr>
      <w:r>
        <w:rPr>
          <w:sz w:val="21"/>
        </w:rPr>
        <w:t>Table « Solde par bénéficiaire » : montants à décaisser, en attente d'encaissement et déjà décaissés.</w:t>
      </w:r>
    </w:p>
    <w:p>
      <w:pPr>
        <w:pStyle w:val="ListBullet"/>
      </w:pPr>
      <w:r>
        <w:rPr>
          <w:sz w:val="21"/>
        </w:rPr>
        <w:t>Déclaration d'un dossier en Pro Bono (dans la limite du quota mensuel).</w:t>
      </w:r>
    </w:p>
    <w:p>
      <w:pPr>
        <w:pStyle w:val="Heading3"/>
      </w:pPr>
      <w:r>
        <w:t>Règles de gestion</w:t>
      </w:r>
    </w:p>
    <w:p>
      <w:pPr>
        <w:pStyle w:val="ListBullet"/>
      </w:pPr>
      <w:r>
        <w:rPr>
          <w:sz w:val="21"/>
        </w:rPr>
        <w:t>Barème de rétrocession (règle du 23/07/2026), rétrocession uniquement sur apport de dossier : 30 % pour l'associé apporteur, 25 % pour le collaborateur avocat / avocat stagiaire / Of Counsel, 10 % pour le collaborateur non-avocat.</w:t>
      </w:r>
    </w:p>
    <w:p>
      <w:pPr>
        <w:pStyle w:val="ListBullet"/>
      </w:pPr>
      <w:r>
        <w:rPr>
          <w:sz w:val="21"/>
        </w:rPr>
        <w:t>Règle « tout ou rien » : aucune rétrocession n'est versée tant que l'intégralité des honoraires du dossier n'a pas été encaissée par le cabinet.</w:t>
      </w:r>
    </w:p>
    <w:p>
      <w:pPr>
        <w:pStyle w:val="ListBullet"/>
      </w:pPr>
      <w:r>
        <w:rPr>
          <w:sz w:val="21"/>
        </w:rPr>
        <w:t>Cycle de statut en 3 étapes : En attente d'encaissement → À décaisser → Décaissée (Payée).</w:t>
      </w:r>
    </w:p>
    <w:p>
      <w:pPr>
        <w:pStyle w:val="ListBullet"/>
      </w:pPr>
      <w:r>
        <w:rPr>
          <w:sz w:val="21"/>
        </w:rPr>
        <w:t>Pro Bono : chaque avocat dispose de 2 dossiers non facturés par mois, quota non reportable ; des frais de dossier de 45 000 FCFA restent néanmoins obligatoires (vignette, consignation, formalité, huissier…) ; au-delà du quota, la facturation des honoraires devient obligatoire.</w:t>
      </w:r>
    </w:p>
    <w:p>
      <w:pPr>
        <w:pStyle w:val="Heading3"/>
      </w:pPr>
      <w:r>
        <w:t>Indicateurs (KPIs)</w:t>
      </w:r>
    </w:p>
    <w:p>
      <w:pPr>
        <w:pStyle w:val="ListBullet"/>
      </w:pPr>
      <w:r>
        <w:rPr>
          <w:sz w:val="21"/>
        </w:rPr>
        <w:t>À décaisser (honoraires encaissés)</w:t>
      </w:r>
    </w:p>
    <w:p>
      <w:pPr>
        <w:pStyle w:val="ListBullet"/>
      </w:pPr>
      <w:r>
        <w:rPr>
          <w:sz w:val="21"/>
        </w:rPr>
        <w:t>En attente d'encaissement</w:t>
      </w:r>
    </w:p>
    <w:p>
      <w:pPr>
        <w:pStyle w:val="ListBullet"/>
      </w:pPr>
      <w:r>
        <w:rPr>
          <w:sz w:val="21"/>
        </w:rPr>
        <w:t>Pro Bono utilisés / quota (mois)</w:t>
      </w:r>
    </w:p>
    <w:p>
      <w:pPr>
        <w:pStyle w:val="Heading2"/>
      </w:pPr>
      <w:r>
        <w:t>4.14 Accès &amp; permissions</w:t>
      </w:r>
    </w:p>
    <w:p>
      <w:pPr>
        <w:pStyle w:val="Heading3"/>
      </w:pPr>
      <w:r>
        <w:t>Objectif</w:t>
      </w:r>
    </w:p>
    <w:p>
      <w:r>
        <w:rPr>
          <w:b w:val="0"/>
          <w:i w:val="0"/>
          <w:sz w:val="21"/>
        </w:rPr>
        <w:t>Définir et faire vivre la matrice d'accès aux informations sensibles du cabinet, gérer les délégations temporaires d'accès et assurer la traçabilité complète des actions (journal d'audit).</w:t>
      </w:r>
    </w:p>
    <w:p>
      <w:pPr>
        <w:pStyle w:val="Heading3"/>
      </w:pPr>
      <w:r>
        <w:t>Données et entités</w:t>
      </w:r>
    </w:p>
    <w:p>
      <w:r>
        <w:rPr>
          <w:b/>
          <w:color w:val="1F2A44"/>
          <w:sz w:val="21"/>
        </w:rPr>
        <w:t>Matrice d'accès (extrait)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551"/>
            <w:shd w:fill="1F2A44"/>
          </w:tcPr>
          <w:p>
            <w:r/>
            <w:r>
              <w:rPr>
                <w:b/>
                <w:color w:val="FFFFFF"/>
                <w:sz w:val="19"/>
              </w:rPr>
              <w:t>Information</w:t>
            </w:r>
          </w:p>
        </w:tc>
        <w:tc>
          <w:tcPr>
            <w:tcW w:type="dxa" w:w="3685"/>
            <w:shd w:fill="1F2A44"/>
          </w:tcPr>
          <w:p>
            <w:r/>
            <w:r>
              <w:rPr>
                <w:b/>
                <w:color w:val="FFFFFF"/>
                <w:sz w:val="19"/>
              </w:rPr>
              <w:t>Collaborateur</w:t>
            </w:r>
          </w:p>
        </w:tc>
        <w:tc>
          <w:tcPr>
            <w:tcW w:type="dxa" w:w="2835"/>
            <w:shd w:fill="1F2A44"/>
          </w:tcPr>
          <w:p>
            <w:r/>
            <w:r>
              <w:rPr>
                <w:b/>
                <w:color w:val="FFFFFF"/>
                <w:sz w:val="19"/>
              </w:rPr>
              <w:t>Associé / Partner</w:t>
            </w:r>
          </w:p>
        </w:tc>
        <w:tc>
          <w:tcPr>
            <w:tcW w:type="dxa" w:w="2436"/>
            <w:shd w:fill="1F2A44"/>
          </w:tcPr>
          <w:p>
            <w:r/>
            <w:r>
              <w:rPr>
                <w:b/>
                <w:color w:val="FFFFFF"/>
                <w:sz w:val="19"/>
              </w:rPr>
              <w:t>Finance / Direction</w:t>
            </w:r>
          </w:p>
        </w:tc>
      </w:tr>
      <w:tr>
        <w:tc>
          <w:tcPr>
            <w:tcW w:type="dxa" w:w="2551"/>
          </w:tcPr>
          <w:p>
            <w:r/>
            <w:r>
              <w:rPr>
                <w:sz w:val="19"/>
              </w:rPr>
              <w:t>Convention d'honoraires, temps enregistrés, factures, relances</w:t>
            </w:r>
          </w:p>
        </w:tc>
        <w:tc>
          <w:tcPr>
            <w:tcW w:type="dxa" w:w="3685"/>
          </w:tcPr>
          <w:p>
            <w:r/>
            <w:r>
              <w:rPr>
                <w:sz w:val="19"/>
              </w:rPr>
              <w:t>Oui</w:t>
            </w:r>
          </w:p>
        </w:tc>
        <w:tc>
          <w:tcPr>
            <w:tcW w:type="dxa" w:w="2835"/>
          </w:tcPr>
          <w:p>
            <w:r/>
            <w:r>
              <w:rPr>
                <w:sz w:val="19"/>
              </w:rPr>
              <w:t>Oui</w:t>
            </w:r>
          </w:p>
        </w:tc>
        <w:tc>
          <w:tcPr>
            <w:tcW w:type="dxa" w:w="2436"/>
          </w:tcPr>
          <w:p>
            <w:r/>
            <w:r>
              <w:rPr>
                <w:sz w:val="19"/>
              </w:rPr>
              <w:t>Oui</w:t>
            </w:r>
          </w:p>
        </w:tc>
      </w:tr>
      <w:tr>
        <w:tc>
          <w:tcPr>
            <w:tcW w:type="dxa" w:w="2551"/>
          </w:tcPr>
          <w:p>
            <w:r/>
            <w:r>
              <w:rPr>
                <w:sz w:val="19"/>
              </w:rPr>
              <w:t>Remises commerciales</w:t>
            </w:r>
          </w:p>
        </w:tc>
        <w:tc>
          <w:tcPr>
            <w:tcW w:type="dxa" w:w="3685"/>
          </w:tcPr>
          <w:p>
            <w:r/>
            <w:r>
              <w:rPr>
                <w:sz w:val="19"/>
              </w:rPr>
              <w:t>Non</w:t>
            </w:r>
          </w:p>
        </w:tc>
        <w:tc>
          <w:tcPr>
            <w:tcW w:type="dxa" w:w="2835"/>
          </w:tcPr>
          <w:p>
            <w:r/>
            <w:r>
              <w:rPr>
                <w:sz w:val="19"/>
              </w:rPr>
              <w:t>Oui</w:t>
            </w:r>
          </w:p>
        </w:tc>
        <w:tc>
          <w:tcPr>
            <w:tcW w:type="dxa" w:w="2436"/>
          </w:tcPr>
          <w:p>
            <w:r/>
            <w:r>
              <w:rPr>
                <w:sz w:val="19"/>
              </w:rPr>
              <w:t>Oui</w:t>
            </w:r>
          </w:p>
        </w:tc>
      </w:tr>
      <w:tr>
        <w:tc>
          <w:tcPr>
            <w:tcW w:type="dxa" w:w="2551"/>
          </w:tcPr>
          <w:p>
            <w:r/>
            <w:r>
              <w:rPr>
                <w:sz w:val="19"/>
              </w:rPr>
              <w:t>Rentabilité du dossier / Marge du cabinet</w:t>
            </w:r>
          </w:p>
        </w:tc>
        <w:tc>
          <w:tcPr>
            <w:tcW w:type="dxa" w:w="3685"/>
          </w:tcPr>
          <w:p>
            <w:r/>
            <w:r>
              <w:rPr>
                <w:sz w:val="19"/>
              </w:rPr>
              <w:t>Non</w:t>
            </w:r>
          </w:p>
        </w:tc>
        <w:tc>
          <w:tcPr>
            <w:tcW w:type="dxa" w:w="2835"/>
          </w:tcPr>
          <w:p>
            <w:r/>
            <w:r>
              <w:rPr>
                <w:sz w:val="19"/>
              </w:rPr>
              <w:t>Oui</w:t>
            </w:r>
          </w:p>
        </w:tc>
        <w:tc>
          <w:tcPr>
            <w:tcW w:type="dxa" w:w="2436"/>
          </w:tcPr>
          <w:p>
            <w:r/>
            <w:r>
              <w:rPr>
                <w:sz w:val="19"/>
              </w:rPr>
              <w:t>Oui</w:t>
            </w:r>
          </w:p>
        </w:tc>
      </w:tr>
      <w:tr>
        <w:tc>
          <w:tcPr>
            <w:tcW w:type="dxa" w:w="2551"/>
          </w:tcPr>
          <w:p>
            <w:r/>
            <w:r>
              <w:rPr>
                <w:sz w:val="19"/>
              </w:rPr>
              <w:t>Rétrocessions / rémunérations</w:t>
            </w:r>
          </w:p>
        </w:tc>
        <w:tc>
          <w:tcPr>
            <w:tcW w:type="dxa" w:w="3685"/>
          </w:tcPr>
          <w:p>
            <w:r/>
            <w:r>
              <w:rPr>
                <w:sz w:val="19"/>
              </w:rPr>
              <w:t>Non</w:t>
            </w:r>
          </w:p>
        </w:tc>
        <w:tc>
          <w:tcPr>
            <w:tcW w:type="dxa" w:w="2835"/>
          </w:tcPr>
          <w:p>
            <w:r/>
            <w:r>
              <w:rPr>
                <w:sz w:val="19"/>
              </w:rPr>
              <w:t>Oui</w:t>
            </w:r>
          </w:p>
        </w:tc>
        <w:tc>
          <w:tcPr>
            <w:tcW w:type="dxa" w:w="2436"/>
          </w:tcPr>
          <w:p>
            <w:r/>
            <w:r>
              <w:rPr>
                <w:sz w:val="19"/>
              </w:rPr>
              <w:t>Oui</w:t>
            </w:r>
          </w:p>
        </w:tc>
      </w:tr>
      <w:tr>
        <w:tc>
          <w:tcPr>
            <w:tcW w:type="dxa" w:w="2551"/>
          </w:tcPr>
          <w:p>
            <w:r/>
            <w:r>
              <w:rPr>
                <w:sz w:val="19"/>
              </w:rPr>
              <w:t>Chiffre d'affaires global</w:t>
            </w:r>
          </w:p>
        </w:tc>
        <w:tc>
          <w:tcPr>
            <w:tcW w:type="dxa" w:w="3685"/>
          </w:tcPr>
          <w:p>
            <w:r/>
            <w:r>
              <w:rPr>
                <w:sz w:val="19"/>
              </w:rPr>
              <w:t>Non</w:t>
            </w:r>
          </w:p>
        </w:tc>
        <w:tc>
          <w:tcPr>
            <w:tcW w:type="dxa" w:w="2835"/>
          </w:tcPr>
          <w:p>
            <w:r/>
            <w:r>
              <w:rPr>
                <w:sz w:val="19"/>
              </w:rPr>
              <w:t>Oui</w:t>
            </w:r>
          </w:p>
        </w:tc>
        <w:tc>
          <w:tcPr>
            <w:tcW w:type="dxa" w:w="2436"/>
          </w:tcPr>
          <w:p>
            <w:r/>
            <w:r>
              <w:rPr>
                <w:sz w:val="19"/>
              </w:rPr>
              <w:t>Oui</w:t>
            </w:r>
          </w:p>
        </w:tc>
      </w:tr>
      <w:tr>
        <w:tc>
          <w:tcPr>
            <w:tcW w:type="dxa" w:w="2551"/>
          </w:tcPr>
          <w:p>
            <w:r/>
            <w:r>
              <w:rPr>
                <w:sz w:val="19"/>
              </w:rPr>
              <w:t>Comptes bancaires &amp; trésorerie</w:t>
            </w:r>
          </w:p>
        </w:tc>
        <w:tc>
          <w:tcPr>
            <w:tcW w:type="dxa" w:w="3685"/>
          </w:tcPr>
          <w:p>
            <w:r/>
            <w:r>
              <w:rPr>
                <w:sz w:val="19"/>
              </w:rPr>
              <w:t>Non</w:t>
            </w:r>
          </w:p>
        </w:tc>
        <w:tc>
          <w:tcPr>
            <w:tcW w:type="dxa" w:w="2835"/>
          </w:tcPr>
          <w:p>
            <w:r/>
            <w:r>
              <w:rPr>
                <w:sz w:val="19"/>
              </w:rPr>
              <w:t>Oui (habilité)</w:t>
            </w:r>
          </w:p>
        </w:tc>
        <w:tc>
          <w:tcPr>
            <w:tcW w:type="dxa" w:w="2436"/>
          </w:tcPr>
          <w:p>
            <w:r/>
            <w:r>
              <w:rPr>
                <w:sz w:val="19"/>
              </w:rPr>
              <w:t>Oui</w:t>
            </w:r>
          </w:p>
        </w:tc>
      </w:tr>
    </w:tbl>
    <w:p/>
    <w:p>
      <w:r>
        <w:rPr>
          <w:b/>
          <w:color w:val="1F2A44"/>
          <w:sz w:val="21"/>
        </w:rPr>
        <w:t>Délégation d'accès</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membre / acces</w:t>
            </w:r>
          </w:p>
        </w:tc>
        <w:tc>
          <w:tcPr>
            <w:tcW w:type="dxa" w:w="3685"/>
          </w:tcPr>
          <w:p>
            <w:r/>
            <w:r>
              <w:rPr>
                <w:sz w:val="19"/>
              </w:rPr>
              <w:t>Membre et accès accordé</w:t>
            </w:r>
          </w:p>
        </w:tc>
        <w:tc>
          <w:tcPr>
            <w:tcW w:type="dxa" w:w="2835"/>
          </w:tcPr>
          <w:p>
            <w:r/>
            <w:r>
              <w:rPr>
                <w:sz w:val="19"/>
              </w:rPr>
              <w:t>Me Diawara / Accès facturation</w:t>
            </w:r>
          </w:p>
        </w:tc>
      </w:tr>
      <w:tr>
        <w:tc>
          <w:tcPr>
            <w:tcW w:type="dxa" w:w="2551"/>
          </w:tcPr>
          <w:p>
            <w:r/>
            <w:r>
              <w:rPr>
                <w:sz w:val="19"/>
              </w:rPr>
              <w:t>portee</w:t>
            </w:r>
          </w:p>
        </w:tc>
        <w:tc>
          <w:tcPr>
            <w:tcW w:type="dxa" w:w="3685"/>
          </w:tcPr>
          <w:p>
            <w:r/>
            <w:r>
              <w:rPr>
                <w:sz w:val="19"/>
              </w:rPr>
              <w:t>Temporaire / Permanent</w:t>
            </w:r>
          </w:p>
        </w:tc>
        <w:tc>
          <w:tcPr>
            <w:tcW w:type="dxa" w:w="2835"/>
          </w:tcPr>
          <w:p>
            <w:r/>
            <w:r>
              <w:rPr>
                <w:sz w:val="19"/>
              </w:rPr>
              <w:t>Temporaire</w:t>
            </w:r>
          </w:p>
        </w:tc>
      </w:tr>
      <w:tr>
        <w:tc>
          <w:tcPr>
            <w:tcW w:type="dxa" w:w="2551"/>
          </w:tcPr>
          <w:p>
            <w:r/>
            <w:r>
              <w:rPr>
                <w:sz w:val="19"/>
              </w:rPr>
              <w:t>fin / motif</w:t>
            </w:r>
          </w:p>
        </w:tc>
        <w:tc>
          <w:tcPr>
            <w:tcW w:type="dxa" w:w="3685"/>
          </w:tcPr>
          <w:p>
            <w:r/>
            <w:r>
              <w:rPr>
                <w:sz w:val="19"/>
              </w:rPr>
              <w:t>Date de fin (si temporaire) et motif</w:t>
            </w:r>
          </w:p>
        </w:tc>
        <w:tc>
          <w:tcPr>
            <w:tcW w:type="dxa" w:w="2835"/>
          </w:tcPr>
          <w:p>
            <w:r/>
            <w:r>
              <w:rPr>
                <w:sz w:val="19"/>
              </w:rPr>
              <w:t>31/07/2026 — Remplacement Me Konaté (congé)</w:t>
            </w:r>
          </w:p>
        </w:tc>
      </w:tr>
    </w:tbl>
    <w:p/>
    <w:p>
      <w:pPr>
        <w:pStyle w:val="Heading3"/>
      </w:pPr>
      <w:r>
        <w:t>Fonctionnalités et actions utilisateur</w:t>
      </w:r>
    </w:p>
    <w:p>
      <w:pPr>
        <w:pStyle w:val="ListBullet"/>
      </w:pPr>
      <w:r>
        <w:rPr>
          <w:sz w:val="21"/>
        </w:rPr>
        <w:t>Consultation de la matrice d'accès par niveau (Collaborateur / Associé-Partner / Finance-Direction).</w:t>
      </w:r>
    </w:p>
    <w:p>
      <w:pPr>
        <w:pStyle w:val="ListBullet"/>
      </w:pPr>
      <w:r>
        <w:rPr>
          <w:sz w:val="21"/>
        </w:rPr>
        <w:t>Octroi d'une délégation d'accès temporaire ou permanente à un membre, avec motif obligatoire.</w:t>
      </w:r>
    </w:p>
    <w:p>
      <w:pPr>
        <w:pStyle w:val="ListBullet"/>
      </w:pPr>
      <w:r>
        <w:rPr>
          <w:sz w:val="21"/>
        </w:rPr>
        <w:t>Consultation du journal d'audit (horodatage, utilisateur, action, élément concerné).</w:t>
      </w:r>
    </w:p>
    <w:p>
      <w:pPr>
        <w:pStyle w:val="Heading3"/>
      </w:pPr>
      <w:r>
        <w:t>Règles de gestion</w:t>
      </w:r>
    </w:p>
    <w:p>
      <w:pPr>
        <w:pStyle w:val="ListBullet"/>
      </w:pPr>
      <w:r>
        <w:rPr>
          <w:sz w:val="21"/>
        </w:rPr>
        <w:t>Chaque utilisateur est identifié individuellement (nom, prénom, code, e-mail unique, rôle) et toutes ses actions sont tracées.</w:t>
      </w:r>
    </w:p>
    <w:p>
      <w:pPr>
        <w:pStyle w:val="ListBullet"/>
      </w:pPr>
      <w:r>
        <w:rPr>
          <w:sz w:val="21"/>
        </w:rPr>
        <w:t>Toute délégation d'accès est journalisée et réversible.</w:t>
      </w:r>
    </w:p>
    <w:p>
      <w:pPr>
        <w:pStyle w:val="ListBullet"/>
      </w:pPr>
      <w:r>
        <w:rPr>
          <w:sz w:val="21"/>
        </w:rPr>
        <w:t>L'évolution du rôle d'un membre (ex. collaborateur devenu associé) fait évoluer automatiquement ses accès.</w:t>
      </w:r>
    </w:p>
    <w:p>
      <w:pPr>
        <w:pStyle w:val="Heading2"/>
      </w:pPr>
      <w:r>
        <w:t>4.15 Cabinet / RH</w:t>
      </w:r>
    </w:p>
    <w:p>
      <w:pPr>
        <w:pStyle w:val="Heading3"/>
      </w:pPr>
      <w:r>
        <w:t>Objectif</w:t>
      </w:r>
    </w:p>
    <w:p>
      <w:r>
        <w:rPr>
          <w:b w:val="0"/>
          <w:i w:val="0"/>
          <w:sz w:val="21"/>
        </w:rPr>
        <w:t>Piloter les ressources humaines du cabinet : composition de l'équipe et charge de travail, congés, alertes contractuelles, pointage journalier, compteur d'heures mensuel et option légère de suivi de la paie.</w:t>
      </w:r>
    </w:p>
    <w:p>
      <w:pPr>
        <w:pStyle w:val="Heading3"/>
      </w:pPr>
      <w:r>
        <w:t>Données et entités</w:t>
      </w:r>
    </w:p>
    <w:p>
      <w:r>
        <w:rPr>
          <w:b/>
          <w:color w:val="1F2A44"/>
          <w:sz w:val="21"/>
        </w:rPr>
        <w:t>Membre (users)</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nom / role</w:t>
            </w:r>
          </w:p>
        </w:tc>
        <w:tc>
          <w:tcPr>
            <w:tcW w:type="dxa" w:w="3685"/>
          </w:tcPr>
          <w:p>
            <w:r/>
            <w:r>
              <w:rPr>
                <w:sz w:val="19"/>
              </w:rPr>
              <w:t>Identité et rôle</w:t>
            </w:r>
          </w:p>
        </w:tc>
        <w:tc>
          <w:tcPr>
            <w:tcW w:type="dxa" w:w="2835"/>
          </w:tcPr>
          <w:p>
            <w:r/>
            <w:r>
              <w:rPr>
                <w:sz w:val="19"/>
              </w:rPr>
              <w:t>Me Diawara / Of Counsel</w:t>
            </w:r>
          </w:p>
        </w:tc>
      </w:tr>
      <w:tr>
        <w:tc>
          <w:tcPr>
            <w:tcW w:type="dxa" w:w="2551"/>
          </w:tcPr>
          <w:p>
            <w:r/>
            <w:r>
              <w:rPr>
                <w:sz w:val="19"/>
              </w:rPr>
              <w:t>charge</w:t>
            </w:r>
          </w:p>
        </w:tc>
        <w:tc>
          <w:tcPr>
            <w:tcW w:type="dxa" w:w="3685"/>
          </w:tcPr>
          <w:p>
            <w:r/>
            <w:r>
              <w:rPr>
                <w:sz w:val="19"/>
              </w:rPr>
              <w:t>Nombre de dossiers en charge</w:t>
            </w:r>
          </w:p>
        </w:tc>
        <w:tc>
          <w:tcPr>
            <w:tcW w:type="dxa" w:w="2835"/>
          </w:tcPr>
          <w:p>
            <w:r/>
            <w:r>
              <w:rPr>
                <w:sz w:val="19"/>
              </w:rPr>
              <w:t>7</w:t>
            </w:r>
          </w:p>
        </w:tc>
      </w:tr>
      <w:tr>
        <w:tc>
          <w:tcPr>
            <w:tcW w:type="dxa" w:w="2551"/>
          </w:tcPr>
          <w:p>
            <w:r/>
            <w:r>
              <w:rPr>
                <w:sz w:val="19"/>
              </w:rPr>
              <w:t>heures / objectif</w:t>
            </w:r>
          </w:p>
        </w:tc>
        <w:tc>
          <w:tcPr>
            <w:tcW w:type="dxa" w:w="3685"/>
          </w:tcPr>
          <w:p>
            <w:r/>
            <w:r>
              <w:rPr>
                <w:sz w:val="19"/>
              </w:rPr>
              <w:t>Heures réalisées et objectif mensuel</w:t>
            </w:r>
          </w:p>
        </w:tc>
        <w:tc>
          <w:tcPr>
            <w:tcW w:type="dxa" w:w="2835"/>
          </w:tcPr>
          <w:p>
            <w:r/>
            <w:r>
              <w:rPr>
                <w:sz w:val="19"/>
              </w:rPr>
              <w:t>25 h / 30 h</w:t>
            </w:r>
          </w:p>
        </w:tc>
      </w:tr>
    </w:tbl>
    <w:p/>
    <w:p>
      <w:r>
        <w:rPr>
          <w:b/>
          <w:color w:val="1F2A44"/>
          <w:sz w:val="21"/>
        </w:rPr>
        <w:t>Congé</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avocat / type</w:t>
            </w:r>
          </w:p>
        </w:tc>
        <w:tc>
          <w:tcPr>
            <w:tcW w:type="dxa" w:w="3685"/>
          </w:tcPr>
          <w:p>
            <w:r/>
            <w:r>
              <w:rPr>
                <w:sz w:val="19"/>
              </w:rPr>
              <w:t>Membre et type de congé</w:t>
            </w:r>
          </w:p>
        </w:tc>
        <w:tc>
          <w:tcPr>
            <w:tcW w:type="dxa" w:w="2835"/>
          </w:tcPr>
          <w:p>
            <w:r/>
            <w:r>
              <w:rPr>
                <w:sz w:val="19"/>
              </w:rPr>
              <w:t>Me Diawara / Annuel</w:t>
            </w:r>
          </w:p>
        </w:tc>
      </w:tr>
      <w:tr>
        <w:tc>
          <w:tcPr>
            <w:tcW w:type="dxa" w:w="2551"/>
          </w:tcPr>
          <w:p>
            <w:r/>
            <w:r>
              <w:rPr>
                <w:sz w:val="19"/>
              </w:rPr>
              <w:t>debut / fin / statut</w:t>
            </w:r>
          </w:p>
        </w:tc>
        <w:tc>
          <w:tcPr>
            <w:tcW w:type="dxa" w:w="3685"/>
          </w:tcPr>
          <w:p>
            <w:r/>
            <w:r>
              <w:rPr>
                <w:sz w:val="19"/>
              </w:rPr>
              <w:t>Période et statut d'approbation</w:t>
            </w:r>
          </w:p>
        </w:tc>
        <w:tc>
          <w:tcPr>
            <w:tcW w:type="dxa" w:w="2835"/>
          </w:tcPr>
          <w:p>
            <w:r/>
            <w:r>
              <w:rPr>
                <w:sz w:val="19"/>
              </w:rPr>
              <w:t>15/07/2026 au 26/07/2026 — approuvé</w:t>
            </w:r>
          </w:p>
        </w:tc>
      </w:tr>
    </w:tbl>
    <w:p/>
    <w:p>
      <w:r>
        <w:rPr>
          <w:b/>
          <w:color w:val="1F2A44"/>
          <w:sz w:val="21"/>
        </w:rPr>
        <w:t>Alerte RH</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membre / type</w:t>
            </w:r>
          </w:p>
        </w:tc>
        <w:tc>
          <w:tcPr>
            <w:tcW w:type="dxa" w:w="3685"/>
          </w:tcPr>
          <w:p>
            <w:r/>
            <w:r>
              <w:rPr>
                <w:sz w:val="19"/>
              </w:rPr>
              <w:t>Membre et nature de l'échéance</w:t>
            </w:r>
          </w:p>
        </w:tc>
        <w:tc>
          <w:tcPr>
            <w:tcW w:type="dxa" w:w="2835"/>
          </w:tcPr>
          <w:p>
            <w:r/>
            <w:r>
              <w:rPr>
                <w:sz w:val="19"/>
              </w:rPr>
              <w:t>Awa Koné (stagiaire) / Fin de période d'essai</w:t>
            </w:r>
          </w:p>
        </w:tc>
      </w:tr>
      <w:tr>
        <w:tc>
          <w:tcPr>
            <w:tcW w:type="dxa" w:w="2551"/>
          </w:tcPr>
          <w:p>
            <w:r/>
            <w:r>
              <w:rPr>
                <w:sz w:val="19"/>
              </w:rPr>
              <w:t>date / dans</w:t>
            </w:r>
          </w:p>
        </w:tc>
        <w:tc>
          <w:tcPr>
            <w:tcW w:type="dxa" w:w="3685"/>
          </w:tcPr>
          <w:p>
            <w:r/>
            <w:r>
              <w:rPr>
                <w:sz w:val="19"/>
              </w:rPr>
              <w:t>Date et délai restant</w:t>
            </w:r>
          </w:p>
        </w:tc>
        <w:tc>
          <w:tcPr>
            <w:tcW w:type="dxa" w:w="2835"/>
          </w:tcPr>
          <w:p>
            <w:r/>
            <w:r>
              <w:rPr>
                <w:sz w:val="19"/>
              </w:rPr>
              <w:t>10/08/2026 — J-19</w:t>
            </w:r>
          </w:p>
        </w:tc>
      </w:tr>
    </w:tbl>
    <w:p/>
    <w:p>
      <w:r>
        <w:rPr>
          <w:b/>
          <w:color w:val="1F2A44"/>
          <w:sz w:val="21"/>
        </w:rPr>
        <w:t>Présence (pointage)</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membre / arrivee / depart</w:t>
            </w:r>
          </w:p>
        </w:tc>
        <w:tc>
          <w:tcPr>
            <w:tcW w:type="dxa" w:w="3685"/>
          </w:tcPr>
          <w:p>
            <w:r/>
            <w:r>
              <w:rPr>
                <w:sz w:val="19"/>
              </w:rPr>
              <w:t>Horaires du jour</w:t>
            </w:r>
          </w:p>
        </w:tc>
        <w:tc>
          <w:tcPr>
            <w:tcW w:type="dxa" w:w="2835"/>
          </w:tcPr>
          <w:p>
            <w:r/>
            <w:r>
              <w:rPr>
                <w:sz w:val="19"/>
              </w:rPr>
              <w:t>Me Daou / 08:15 / 18:40</w:t>
            </w:r>
          </w:p>
        </w:tc>
      </w:tr>
      <w:tr>
        <w:tc>
          <w:tcPr>
            <w:tcW w:type="dxa" w:w="2551"/>
          </w:tcPr>
          <w:p>
            <w:r/>
            <w:r>
              <w:rPr>
                <w:sz w:val="19"/>
              </w:rPr>
              <w:t>heures</w:t>
            </w:r>
          </w:p>
        </w:tc>
        <w:tc>
          <w:tcPr>
            <w:tcW w:type="dxa" w:w="3685"/>
          </w:tcPr>
          <w:p>
            <w:r/>
            <w:r>
              <w:rPr>
                <w:sz w:val="19"/>
              </w:rPr>
              <w:t>Total d'heures de présence du jour</w:t>
            </w:r>
          </w:p>
        </w:tc>
        <w:tc>
          <w:tcPr>
            <w:tcW w:type="dxa" w:w="2835"/>
          </w:tcPr>
          <w:p>
            <w:r/>
            <w:r>
              <w:rPr>
                <w:sz w:val="19"/>
              </w:rPr>
              <w:t>10,4 h</w:t>
            </w:r>
          </w:p>
        </w:tc>
      </w:tr>
    </w:tbl>
    <w:p/>
    <w:p>
      <w:pPr>
        <w:pStyle w:val="Heading3"/>
      </w:pPr>
      <w:r>
        <w:t>Fonctionnalités et actions utilisateur</w:t>
      </w:r>
    </w:p>
    <w:p>
      <w:pPr>
        <w:pStyle w:val="ListBullet"/>
      </w:pPr>
      <w:r>
        <w:rPr>
          <w:sz w:val="21"/>
        </w:rPr>
        <w:t>Vue de la charge de travail par membre (nombre de dossiers, barre de charge relative).</w:t>
      </w:r>
    </w:p>
    <w:p>
      <w:pPr>
        <w:pStyle w:val="ListBullet"/>
      </w:pPr>
      <w:r>
        <w:rPr>
          <w:sz w:val="21"/>
        </w:rPr>
        <w:t>Suivi des objectifs et de la performance (heures réalisées vs objectif mensuel).</w:t>
      </w:r>
    </w:p>
    <w:p>
      <w:pPr>
        <w:pStyle w:val="ListBullet"/>
      </w:pPr>
      <w:r>
        <w:rPr>
          <w:sz w:val="21"/>
        </w:rPr>
        <w:t>Gestion des congés et absences.</w:t>
      </w:r>
    </w:p>
    <w:p>
      <w:pPr>
        <w:pStyle w:val="ListBullet"/>
      </w:pPr>
      <w:r>
        <w:rPr>
          <w:sz w:val="21"/>
        </w:rPr>
        <w:t>Alertes RH : fin de période d'essai, fin de CDD, visite médicale annuelle — avec badges d'alerte à J-….</w:t>
      </w:r>
    </w:p>
    <w:p>
      <w:pPr>
        <w:pStyle w:val="ListBullet"/>
      </w:pPr>
      <w:r>
        <w:rPr>
          <w:sz w:val="21"/>
        </w:rPr>
        <w:t>Pointage journalier (heures d'arrivée/départ) et compteur d'heures cumulées sur le mois, exportable.</w:t>
      </w:r>
    </w:p>
    <w:p>
      <w:pPr>
        <w:pStyle w:val="ListBullet"/>
      </w:pPr>
      <w:r>
        <w:rPr>
          <w:sz w:val="21"/>
        </w:rPr>
        <w:t>Option paie légère : archivage indicatif des bulletins (salaire brut, cotisations salariales et patronales, net indicatif).</w:t>
      </w:r>
    </w:p>
    <w:p>
      <w:pPr>
        <w:pStyle w:val="Heading3"/>
      </w:pPr>
      <w:r>
        <w:t>Règles de gestion</w:t>
      </w:r>
    </w:p>
    <w:p>
      <w:pPr>
        <w:pStyle w:val="ListBullet"/>
      </w:pPr>
      <w:r>
        <w:rPr>
          <w:sz w:val="21"/>
        </w:rPr>
        <w:t>Le pointage de présence est distinct du temps facturable saisi par dossier (module Chrono &amp; Facturation).</w:t>
      </w:r>
    </w:p>
    <w:p>
      <w:pPr>
        <w:pStyle w:val="ListBullet"/>
      </w:pPr>
      <w:r>
        <w:rPr>
          <w:sz w:val="21"/>
        </w:rPr>
        <w:t>L'atteinte de l'objectif d'heures mensuel est signalée en vert si l'objectif est atteint ou dépassé, en orange sinon.</w:t>
      </w:r>
    </w:p>
    <w:p>
      <w:pPr>
        <w:pStyle w:val="ListBullet"/>
      </w:pPr>
      <w:r>
        <w:rPr>
          <w:sz w:val="21"/>
        </w:rPr>
        <w:t>Le calcul officiel des bulletins de paie et les déclarations sociales (INPS, AMO, ITS) restent hors de l'application : JURIA alimente et exporte les données, le comptable calcule et déclare. Les montants affichés sont indicatifs.</w:t>
      </w:r>
    </w:p>
    <w:p>
      <w:pPr>
        <w:pStyle w:val="Heading2"/>
      </w:pPr>
      <w:r>
        <w:t>4.16 Assistant IA</w:t>
      </w:r>
    </w:p>
    <w:p>
      <w:pPr>
        <w:pStyle w:val="Heading3"/>
      </w:pPr>
      <w:r>
        <w:t>Objectif</w:t>
      </w:r>
    </w:p>
    <w:p>
      <w:r>
        <w:rPr>
          <w:b w:val="0"/>
          <w:i w:val="0"/>
          <w:sz w:val="21"/>
        </w:rPr>
        <w:t>Présenter, sous forme de catalogue, les capacités d'assistance par intelligence artificielle mises à disposition des utilisateurs, avec un garde-fou explicite rappelant leur rôle d'assistance uniquement.</w:t>
      </w:r>
    </w:p>
    <w:p>
      <w:pPr>
        <w:pStyle w:val="Heading3"/>
      </w:pPr>
      <w:r>
        <w:t>Données et entités</w:t>
      </w:r>
    </w:p>
    <w:p>
      <w:r>
        <w:rPr>
          <w:b/>
          <w:color w:val="1F2A44"/>
          <w:sz w:val="21"/>
        </w:rPr>
        <w:t>Capacité</w:t>
      </w:r>
    </w:p>
    <w:tbl>
      <w:tblPr>
        <w:tblStyle w:val="TableGrid"/>
        <w:tblW w:type="auto" w:w="0"/>
        <w:jc w:val="center"/>
        <w:tblLook w:firstColumn="1" w:firstRow="1" w:lastColumn="0" w:lastRow="0" w:noHBand="0" w:noVBand="1" w:val="04A0"/>
      </w:tblPr>
      <w:tblGrid>
        <w:gridCol w:w="4873"/>
        <w:gridCol w:w="4873"/>
      </w:tblGrid>
      <w:tr>
        <w:tc>
          <w:tcPr>
            <w:tcW w:type="dxa" w:w="2551"/>
            <w:shd w:fill="1F2A44"/>
          </w:tcPr>
          <w:p>
            <w:r/>
            <w:r>
              <w:rPr>
                <w:b/>
                <w:color w:val="FFFFFF"/>
                <w:sz w:val="19"/>
              </w:rPr>
              <w:t>Capacité</w:t>
            </w:r>
          </w:p>
        </w:tc>
        <w:tc>
          <w:tcPr>
            <w:tcW w:type="dxa" w:w="3685"/>
            <w:shd w:fill="1F2A44"/>
          </w:tcPr>
          <w:p>
            <w:r/>
            <w:r>
              <w:rPr>
                <w:b/>
                <w:color w:val="FFFFFF"/>
                <w:sz w:val="19"/>
              </w:rPr>
              <w:t>Description</w:t>
            </w:r>
          </w:p>
        </w:tc>
      </w:tr>
      <w:tr>
        <w:tc>
          <w:tcPr>
            <w:tcW w:type="dxa" w:w="2551"/>
          </w:tcPr>
          <w:p>
            <w:r/>
            <w:r>
              <w:rPr>
                <w:sz w:val="19"/>
              </w:rPr>
              <w:t>Résumé de document</w:t>
            </w:r>
          </w:p>
        </w:tc>
        <w:tc>
          <w:tcPr>
            <w:tcW w:type="dxa" w:w="3685"/>
          </w:tcPr>
          <w:p>
            <w:r/>
            <w:r>
              <w:rPr>
                <w:sz w:val="19"/>
              </w:rPr>
              <w:t>Synthèse fidèle d'une pièce du dossier.</w:t>
            </w:r>
          </w:p>
        </w:tc>
      </w:tr>
      <w:tr>
        <w:tc>
          <w:tcPr>
            <w:tcW w:type="dxa" w:w="2551"/>
          </w:tcPr>
          <w:p>
            <w:r/>
            <w:r>
              <w:rPr>
                <w:sz w:val="19"/>
              </w:rPr>
              <w:t>Extraction des faits</w:t>
            </w:r>
          </w:p>
        </w:tc>
        <w:tc>
          <w:tcPr>
            <w:tcW w:type="dxa" w:w="3685"/>
          </w:tcPr>
          <w:p>
            <w:r/>
            <w:r>
              <w:rPr>
                <w:sz w:val="19"/>
              </w:rPr>
              <w:t>Faits datés isolés automatiquement du dossier.</w:t>
            </w:r>
          </w:p>
        </w:tc>
      </w:tr>
      <w:tr>
        <w:tc>
          <w:tcPr>
            <w:tcW w:type="dxa" w:w="2551"/>
          </w:tcPr>
          <w:p>
            <w:r/>
            <w:r>
              <w:rPr>
                <w:sz w:val="19"/>
              </w:rPr>
              <w:t>Chronologie</w:t>
            </w:r>
          </w:p>
        </w:tc>
        <w:tc>
          <w:tcPr>
            <w:tcW w:type="dxa" w:w="3685"/>
          </w:tcPr>
          <w:p>
            <w:r/>
            <w:r>
              <w:rPr>
                <w:sz w:val="19"/>
              </w:rPr>
              <w:t>Ligne de temps générée automatiquement à partir des événements du dossier.</w:t>
            </w:r>
          </w:p>
        </w:tc>
      </w:tr>
      <w:tr>
        <w:tc>
          <w:tcPr>
            <w:tcW w:type="dxa" w:w="2551"/>
          </w:tcPr>
          <w:p>
            <w:r/>
            <w:r>
              <w:rPr>
                <w:sz w:val="19"/>
              </w:rPr>
              <w:t>Analyse contractuelle</w:t>
            </w:r>
          </w:p>
        </w:tc>
        <w:tc>
          <w:tcPr>
            <w:tcW w:type="dxa" w:w="3685"/>
          </w:tcPr>
          <w:p>
            <w:r/>
            <w:r>
              <w:rPr>
                <w:sz w:val="19"/>
              </w:rPr>
              <w:t>Repérage des clauses sensibles d'un contrat.</w:t>
            </w:r>
          </w:p>
        </w:tc>
      </w:tr>
      <w:tr>
        <w:tc>
          <w:tcPr>
            <w:tcW w:type="dxa" w:w="2551"/>
          </w:tcPr>
          <w:p>
            <w:r/>
            <w:r>
              <w:rPr>
                <w:sz w:val="19"/>
              </w:rPr>
              <w:t>Traduction juridique</w:t>
            </w:r>
          </w:p>
        </w:tc>
        <w:tc>
          <w:tcPr>
            <w:tcW w:type="dxa" w:w="3685"/>
          </w:tcPr>
          <w:p>
            <w:r/>
            <w:r>
              <w:rPr>
                <w:sz w:val="19"/>
              </w:rPr>
              <w:t>Traduction FR ⇄ EN d'un passage juridique.</w:t>
            </w:r>
          </w:p>
        </w:tc>
      </w:tr>
      <w:tr>
        <w:tc>
          <w:tcPr>
            <w:tcW w:type="dxa" w:w="2551"/>
          </w:tcPr>
          <w:p>
            <w:r/>
            <w:r>
              <w:rPr>
                <w:sz w:val="19"/>
              </w:rPr>
              <w:t>Comparaison de versions</w:t>
            </w:r>
          </w:p>
        </w:tc>
        <w:tc>
          <w:tcPr>
            <w:tcW w:type="dxa" w:w="3685"/>
          </w:tcPr>
          <w:p>
            <w:r/>
            <w:r>
              <w:rPr>
                <w:sz w:val="19"/>
              </w:rPr>
              <w:t>Détection des différences entre deux versions d'un texte.</w:t>
            </w:r>
          </w:p>
        </w:tc>
      </w:tr>
    </w:tbl>
    <w:p/>
    <w:p>
      <w:pPr>
        <w:pStyle w:val="Heading3"/>
      </w:pPr>
      <w:r>
        <w:t>Fonctionnalités et actions utilisateur</w:t>
      </w:r>
    </w:p>
    <w:p>
      <w:pPr>
        <w:pStyle w:val="ListBullet"/>
      </w:pPr>
      <w:r>
        <w:rPr>
          <w:sz w:val="21"/>
        </w:rPr>
        <w:t>Chaque capacité est présentée dans une fiche avec un bouton « Essayer » qui restitue un résultat.</w:t>
      </w:r>
    </w:p>
    <w:p>
      <w:pPr>
        <w:pStyle w:val="Heading3"/>
      </w:pPr>
      <w:r>
        <w:t>Règles de gestion</w:t>
      </w:r>
    </w:p>
    <w:p>
      <w:pPr>
        <w:pStyle w:val="ListBullet"/>
      </w:pPr>
      <w:r>
        <w:rPr>
          <w:sz w:val="21"/>
        </w:rPr>
        <w:t>Garde-fou explicite : l'IA est un outil d'assistance, jamais un outil de décision ; chaque production est un « projet à valider » par l'avocat.</w:t>
      </w:r>
    </w:p>
    <w:p>
      <w:pPr>
        <w:pStyle w:val="ListBullet"/>
      </w:pPr>
      <w:r>
        <w:rPr>
          <w:sz w:val="21"/>
        </w:rPr>
        <w:t>Les données traitées par l'assistant restent internes au cabinet.</w:t>
      </w:r>
    </w:p>
    <w:p>
      <w:pPr>
        <w:pStyle w:val="ListBullet"/>
      </w:pPr>
      <w:r>
        <w:rPr>
          <w:sz w:val="21"/>
        </w:rPr>
        <w:t>Cette même logique de « projet à valider » s'applique aux fonctionnalités IA intégrées dans d'autres modules (résumé et chronologie dans la fiche dossier, génération de draft dans l'Atelier d'actes).</w:t>
      </w:r>
    </w:p>
    <w:p>
      <w:pPr>
        <w:pStyle w:val="Heading2"/>
      </w:pPr>
      <w:r>
        <w:t>4.17 Portail client</w:t>
      </w:r>
    </w:p>
    <w:p>
      <w:pPr>
        <w:pStyle w:val="Heading3"/>
      </w:pPr>
      <w:r>
        <w:t>Objectif</w:t>
      </w:r>
    </w:p>
    <w:p>
      <w:r>
        <w:rPr>
          <w:b w:val="0"/>
          <w:i w:val="0"/>
          <w:sz w:val="21"/>
        </w:rPr>
        <w:t>Offrir un aperçu de ce que verra un client en se connectant à son espace extranet sécurisé : ses dossiers, ses factures et une messagerie directe avec le cabinet.</w:t>
      </w:r>
    </w:p>
    <w:p>
      <w:pPr>
        <w:pStyle w:val="Heading3"/>
      </w:pPr>
      <w:r>
        <w:t>Données et entités</w:t>
      </w:r>
    </w:p>
    <w:p>
      <w:r>
        <w:rPr>
          <w:b/>
          <w:color w:val="1F2A44"/>
          <w:sz w:val="21"/>
        </w:rPr>
        <w:t>Vue client</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fill="1F2A44"/>
          </w:tcPr>
          <w:p>
            <w:r/>
            <w:r>
              <w:rPr>
                <w:b/>
                <w:color w:val="FFFFFF"/>
                <w:sz w:val="19"/>
              </w:rPr>
              <w:t>Champ</w:t>
            </w:r>
          </w:p>
        </w:tc>
        <w:tc>
          <w:tcPr>
            <w:tcW w:type="dxa" w:w="3685"/>
            <w:shd w:fill="1F2A44"/>
          </w:tcPr>
          <w:p>
            <w:r/>
            <w:r>
              <w:rPr>
                <w:b/>
                <w:color w:val="FFFFFF"/>
                <w:sz w:val="19"/>
              </w:rPr>
              <w:t>Description</w:t>
            </w:r>
          </w:p>
        </w:tc>
        <w:tc>
          <w:tcPr>
            <w:tcW w:type="dxa" w:w="2835"/>
            <w:shd w:fill="1F2A44"/>
          </w:tcPr>
          <w:p>
            <w:r/>
            <w:r>
              <w:rPr>
                <w:b/>
                <w:color w:val="FFFFFF"/>
                <w:sz w:val="19"/>
              </w:rPr>
              <w:t>Exemple</w:t>
            </w:r>
          </w:p>
        </w:tc>
      </w:tr>
      <w:tr>
        <w:tc>
          <w:tcPr>
            <w:tcW w:type="dxa" w:w="2551"/>
          </w:tcPr>
          <w:p>
            <w:r/>
            <w:r>
              <w:rPr>
                <w:sz w:val="19"/>
              </w:rPr>
              <w:t>Mes dossiers</w:t>
            </w:r>
          </w:p>
        </w:tc>
        <w:tc>
          <w:tcPr>
            <w:tcW w:type="dxa" w:w="3685"/>
          </w:tcPr>
          <w:p>
            <w:r/>
            <w:r>
              <w:rPr>
                <w:sz w:val="19"/>
              </w:rPr>
              <w:t>Numéro, intitulé et phase des dossiers du client connecté</w:t>
            </w:r>
          </w:p>
        </w:tc>
        <w:tc>
          <w:tcPr>
            <w:tcW w:type="dxa" w:w="2835"/>
          </w:tcPr>
          <w:p>
            <w:r/>
            <w:r>
              <w:rPr>
                <w:sz w:val="19"/>
              </w:rPr>
              <w:t>AFF-26-018 — SODIMA c/ Bâtir-SA — Recours</w:t>
            </w:r>
          </w:p>
        </w:tc>
      </w:tr>
      <w:tr>
        <w:tc>
          <w:tcPr>
            <w:tcW w:type="dxa" w:w="2551"/>
          </w:tcPr>
          <w:p>
            <w:r/>
            <w:r>
              <w:rPr>
                <w:sz w:val="19"/>
              </w:rPr>
              <w:t>Mes factures</w:t>
            </w:r>
          </w:p>
        </w:tc>
        <w:tc>
          <w:tcPr>
            <w:tcW w:type="dxa" w:w="3685"/>
          </w:tcPr>
          <w:p>
            <w:r/>
            <w:r>
              <w:rPr>
                <w:sz w:val="19"/>
              </w:rPr>
              <w:t>Numéro, montant TTC et statut des factures du client</w:t>
            </w:r>
          </w:p>
        </w:tc>
        <w:tc>
          <w:tcPr>
            <w:tcW w:type="dxa" w:w="2835"/>
          </w:tcPr>
          <w:p>
            <w:r/>
            <w:r>
              <w:rPr>
                <w:sz w:val="19"/>
              </w:rPr>
              <w:t>F-26-101 — 1 770 000 FCFA — payée</w:t>
            </w:r>
          </w:p>
        </w:tc>
      </w:tr>
      <w:tr>
        <w:tc>
          <w:tcPr>
            <w:tcW w:type="dxa" w:w="2551"/>
          </w:tcPr>
          <w:p>
            <w:r/>
            <w:r>
              <w:rPr>
                <w:sz w:val="19"/>
              </w:rPr>
              <w:t>Messages</w:t>
            </w:r>
          </w:p>
        </w:tc>
        <w:tc>
          <w:tcPr>
            <w:tcW w:type="dxa" w:w="3685"/>
          </w:tcPr>
          <w:p>
            <w:r/>
            <w:r>
              <w:rPr>
                <w:sz w:val="19"/>
              </w:rPr>
              <w:t>Fil de discussion avec le cabinet (client / cabinet)</w:t>
            </w:r>
          </w:p>
        </w:tc>
        <w:tc>
          <w:tcPr>
            <w:tcW w:type="dxa" w:w="2835"/>
          </w:tcPr>
          <w:p>
            <w:r/>
            <w:r>
              <w:rPr>
                <w:sz w:val="19"/>
              </w:rPr>
              <w:t>« Je vous transmets les pièces demandées cette semaine. »</w:t>
            </w:r>
          </w:p>
        </w:tc>
      </w:tr>
    </w:tbl>
    <w:p/>
    <w:p>
      <w:pPr>
        <w:pStyle w:val="Heading3"/>
      </w:pPr>
      <w:r>
        <w:t>Fonctionnalités et actions utilisateur</w:t>
      </w:r>
    </w:p>
    <w:p>
      <w:pPr>
        <w:pStyle w:val="ListBullet"/>
      </w:pPr>
      <w:r>
        <w:rPr>
          <w:sz w:val="21"/>
        </w:rPr>
        <w:t>Consultation de la liste de ses propres dossiers et de leur phase.</w:t>
      </w:r>
    </w:p>
    <w:p>
      <w:pPr>
        <w:pStyle w:val="ListBullet"/>
      </w:pPr>
      <w:r>
        <w:rPr>
          <w:sz w:val="21"/>
        </w:rPr>
        <w:t>Consultation de ses propres factures et de leur statut de paiement.</w:t>
      </w:r>
    </w:p>
    <w:p>
      <w:pPr>
        <w:pStyle w:val="ListBullet"/>
      </w:pPr>
      <w:r>
        <w:rPr>
          <w:sz w:val="21"/>
        </w:rPr>
        <w:t>Échange de messages avec le cabinet.</w:t>
      </w:r>
    </w:p>
    <w:p>
      <w:pPr>
        <w:pStyle w:val="Heading3"/>
      </w:pPr>
      <w:r>
        <w:t>Règles de gestion</w:t>
      </w:r>
    </w:p>
    <w:p>
      <w:pPr>
        <w:pStyle w:val="ListBullet"/>
      </w:pPr>
      <w:r>
        <w:rPr>
          <w:sz w:val="21"/>
        </w:rPr>
        <w:t>Un client ne voit que ses propres dossiers et factures (accès strictement limité à son périmètre).</w:t>
      </w:r>
    </w:p>
    <w:p>
      <w:pPr>
        <w:pStyle w:val="ListBullet"/>
      </w:pPr>
      <w:r>
        <w:rPr>
          <w:sz w:val="21"/>
        </w:rPr>
        <w:t>Module identifié comme un aperçu de phase 4 (postérieure au MVP) dans la feuille de route du projet.</w:t>
      </w:r>
    </w:p>
    <w:p>
      <w:r>
        <w:br w:type="page"/>
      </w:r>
    </w:p>
    <w:p>
      <w:pPr>
        <w:pStyle w:val="Heading1"/>
      </w:pPr>
      <w:r>
        <w:t>5. Modèle de données transverse</w:t>
      </w:r>
    </w:p>
    <w:p>
      <w:r>
        <w:rPr>
          <w:b w:val="0"/>
          <w:i w:val="0"/>
          <w:sz w:val="21"/>
        </w:rPr>
        <w:t>Cette section présente, en langage clair (hors modélisation technique, qui relève du schéma de base de données défini séparément), les principales entités manipulées par JURIA et leurs relations, telles qu'elles ressortent de l'analyse de la démo.</w:t>
      </w:r>
    </w:p>
    <w:tbl>
      <w:tblPr>
        <w:tblStyle w:val="TableGrid"/>
        <w:tblW w:type="auto" w:w="0"/>
        <w:jc w:val="center"/>
        <w:tblLook w:firstColumn="1" w:firstRow="1" w:lastColumn="0" w:lastRow="0" w:noHBand="0" w:noVBand="1" w:val="04A0"/>
      </w:tblPr>
      <w:tblGrid>
        <w:gridCol w:w="4873"/>
        <w:gridCol w:w="4873"/>
      </w:tblGrid>
      <w:tr>
        <w:tc>
          <w:tcPr>
            <w:tcW w:type="dxa" w:w="1984"/>
            <w:shd w:fill="1F2A44"/>
          </w:tcPr>
          <w:p>
            <w:r/>
            <w:r>
              <w:rPr>
                <w:b/>
                <w:color w:val="FFFFFF"/>
                <w:sz w:val="19"/>
              </w:rPr>
              <w:t>Entité</w:t>
            </w:r>
          </w:p>
        </w:tc>
        <w:tc>
          <w:tcPr>
            <w:tcW w:type="dxa" w:w="7370"/>
            <w:shd w:fill="1F2A44"/>
          </w:tcPr>
          <w:p>
            <w:r/>
            <w:r>
              <w:rPr>
                <w:b/>
                <w:color w:val="FFFFFF"/>
                <w:sz w:val="19"/>
              </w:rPr>
              <w:t>Description et relations principales</w:t>
            </w:r>
          </w:p>
        </w:tc>
      </w:tr>
      <w:tr>
        <w:tc>
          <w:tcPr>
            <w:tcW w:type="dxa" w:w="1984"/>
          </w:tcPr>
          <w:p>
            <w:r/>
            <w:r>
              <w:rPr>
                <w:sz w:val="19"/>
              </w:rPr>
              <w:t>Client</w:t>
            </w:r>
          </w:p>
        </w:tc>
        <w:tc>
          <w:tcPr>
            <w:tcW w:type="dxa" w:w="7370"/>
          </w:tcPr>
          <w:p>
            <w:r/>
            <w:r>
              <w:rPr>
                <w:sz w:val="19"/>
              </w:rPr>
              <w:t>Personne physique ou morale, cliente du cabinet. Un client peut avoir plusieurs dossiers, plusieurs factures, et confier plusieurs originaux au cabinet.</w:t>
            </w:r>
          </w:p>
        </w:tc>
      </w:tr>
      <w:tr>
        <w:tc>
          <w:tcPr>
            <w:tcW w:type="dxa" w:w="1984"/>
          </w:tcPr>
          <w:p>
            <w:r/>
            <w:r>
              <w:rPr>
                <w:sz w:val="19"/>
              </w:rPr>
              <w:t>Dossier</w:t>
            </w:r>
          </w:p>
        </w:tc>
        <w:tc>
          <w:tcPr>
            <w:tcW w:type="dxa" w:w="7370"/>
          </w:tcPr>
          <w:p>
            <w:r/>
            <w:r>
              <w:rPr>
                <w:sz w:val="19"/>
              </w:rPr>
              <w:t>Entité centrale de l'application. Rattaché à un client et à un avocat responsable. Contient ou référence : parties (dont parties adverses), instances de procédure, dossiers liés (affaire), délais/événements, pièces (GED), temps passés, communications, tâches, factures, dépenses/débours et rétrocessions.</w:t>
            </w:r>
          </w:p>
        </w:tc>
      </w:tr>
      <w:tr>
        <w:tc>
          <w:tcPr>
            <w:tcW w:type="dxa" w:w="1984"/>
          </w:tcPr>
          <w:p>
            <w:r/>
            <w:r>
              <w:rPr>
                <w:sz w:val="19"/>
              </w:rPr>
              <w:t>Utilisateur / Membre</w:t>
            </w:r>
          </w:p>
        </w:tc>
        <w:tc>
          <w:tcPr>
            <w:tcW w:type="dxa" w:w="7370"/>
          </w:tcPr>
          <w:p>
            <w:r/>
            <w:r>
              <w:rPr>
                <w:sz w:val="19"/>
              </w:rPr>
              <w:t>Personne travaillant pour le cabinet (associé, of counsel, collaborateur, juriste, stagiaire, administrateur, comptable). Peut être responsable de dossiers, saisir du temps, être bénéficiaire d'une rétrocession, avoir des congés/présences et des alertes RH.</w:t>
            </w:r>
          </w:p>
        </w:tc>
      </w:tr>
      <w:tr>
        <w:tc>
          <w:tcPr>
            <w:tcW w:type="dxa" w:w="1984"/>
          </w:tcPr>
          <w:p>
            <w:r/>
            <w:r>
              <w:rPr>
                <w:sz w:val="19"/>
              </w:rPr>
              <w:t>Facture / Note de frais</w:t>
            </w:r>
          </w:p>
        </w:tc>
        <w:tc>
          <w:tcPr>
            <w:tcW w:type="dxa" w:w="7370"/>
          </w:tcPr>
          <w:p>
            <w:r/>
            <w:r>
              <w:rPr>
                <w:sz w:val="19"/>
              </w:rPr>
              <w:t>Émise pour un client au titre d'un dossier. Composée de lignes (honoraires, débours). Porte un statut (émise, payée), une devise et un moyen de règlement.</w:t>
            </w:r>
          </w:p>
        </w:tc>
      </w:tr>
      <w:tr>
        <w:tc>
          <w:tcPr>
            <w:tcW w:type="dxa" w:w="1984"/>
          </w:tcPr>
          <w:p>
            <w:r/>
            <w:r>
              <w:rPr>
                <w:sz w:val="19"/>
              </w:rPr>
              <w:t>Dépense</w:t>
            </w:r>
          </w:p>
        </w:tc>
        <w:tc>
          <w:tcPr>
            <w:tcW w:type="dxa" w:w="7370"/>
          </w:tcPr>
          <w:p>
            <w:r/>
            <w:r>
              <w:rPr>
                <w:sz w:val="19"/>
              </w:rPr>
              <w:t>Charge du cabinet ou débours avancé pour un client (auquel cas potentiellement refacturable et rattaché à un dossier et, in fine, à une facture).</w:t>
            </w:r>
          </w:p>
        </w:tc>
      </w:tr>
      <w:tr>
        <w:tc>
          <w:tcPr>
            <w:tcW w:type="dxa" w:w="1984"/>
          </w:tcPr>
          <w:p>
            <w:r/>
            <w:r>
              <w:rPr>
                <w:sz w:val="19"/>
              </w:rPr>
              <w:t>Rétrocession</w:t>
            </w:r>
          </w:p>
        </w:tc>
        <w:tc>
          <w:tcPr>
            <w:tcW w:type="dxa" w:w="7370"/>
          </w:tcPr>
          <w:p>
            <w:r/>
            <w:r>
              <w:rPr>
                <w:sz w:val="19"/>
              </w:rPr>
              <w:t>Rémunération due à un bénéficiaire (utilisateur) au titre de l'apport d'un dossier ; calculée sur une base HT et un taux dépendant de la qualité du bénéficiaire ; liée au dossier et conditionnée à l'encaissement intégral des honoraires de ce dossier.</w:t>
            </w:r>
          </w:p>
        </w:tc>
      </w:tr>
      <w:tr>
        <w:tc>
          <w:tcPr>
            <w:tcW w:type="dxa" w:w="1984"/>
          </w:tcPr>
          <w:p>
            <w:r/>
            <w:r>
              <w:rPr>
                <w:sz w:val="19"/>
              </w:rPr>
              <w:t>Courrier</w:t>
            </w:r>
          </w:p>
        </w:tc>
        <w:tc>
          <w:tcPr>
            <w:tcW w:type="dxa" w:w="7370"/>
          </w:tcPr>
          <w:p>
            <w:r/>
            <w:r>
              <w:rPr>
                <w:sz w:val="19"/>
              </w:rPr>
              <w:t>Entrée ou sortie de courrier, éventuellement rattachée à un dossier ; peut déclencher un événement ou une diligence.</w:t>
            </w:r>
          </w:p>
        </w:tc>
      </w:tr>
      <w:tr>
        <w:tc>
          <w:tcPr>
            <w:tcW w:type="dxa" w:w="1984"/>
          </w:tcPr>
          <w:p>
            <w:r/>
            <w:r>
              <w:rPr>
                <w:sz w:val="19"/>
              </w:rPr>
              <w:t>Échéance</w:t>
            </w:r>
          </w:p>
        </w:tc>
        <w:tc>
          <w:tcPr>
            <w:tcW w:type="dxa" w:w="7370"/>
          </w:tcPr>
          <w:p>
            <w:r/>
            <w:r>
              <w:rPr>
                <w:sz w:val="19"/>
              </w:rPr>
              <w:t>Deux formes : l'événement/délai rattaché à un dossier (audience, délai de procédure, de recours…) et l'échéance administrative récurrente du cabinet (fiscale, sociale, ordinale…), non rattachée à un dossier particulier.</w:t>
            </w:r>
          </w:p>
        </w:tc>
      </w:tr>
      <w:tr>
        <w:tc>
          <w:tcPr>
            <w:tcW w:type="dxa" w:w="1984"/>
          </w:tcPr>
          <w:p>
            <w:r/>
            <w:r>
              <w:rPr>
                <w:sz w:val="19"/>
              </w:rPr>
              <w:t>Pièce / Original</w:t>
            </w:r>
          </w:p>
        </w:tc>
        <w:tc>
          <w:tcPr>
            <w:tcW w:type="dxa" w:w="7370"/>
          </w:tcPr>
          <w:p>
            <w:r/>
            <w:r>
              <w:rPr>
                <w:sz w:val="19"/>
              </w:rPr>
              <w:t>Deux notions : la pièce numérique versée à la GED du dossier (avec version et statut), et l'original physique confié par un client (avec emplacement et obligation de restitution).</w:t>
            </w:r>
          </w:p>
        </w:tc>
      </w:tr>
      <w:tr>
        <w:tc>
          <w:tcPr>
            <w:tcW w:type="dxa" w:w="1984"/>
          </w:tcPr>
          <w:p>
            <w:r/>
            <w:r>
              <w:rPr>
                <w:sz w:val="19"/>
              </w:rPr>
              <w:t>Tâche</w:t>
            </w:r>
          </w:p>
        </w:tc>
        <w:tc>
          <w:tcPr>
            <w:tcW w:type="dxa" w:w="7370"/>
          </w:tcPr>
          <w:p>
            <w:r/>
            <w:r>
              <w:rPr>
                <w:sz w:val="19"/>
              </w:rPr>
              <w:t>Élément du Plan d'action, éventuellement rattachée à un dossier, suivant un statut kanban (à faire, en cours, à valider, terminé).</w:t>
            </w:r>
          </w:p>
        </w:tc>
      </w:tr>
      <w:tr>
        <w:tc>
          <w:tcPr>
            <w:tcW w:type="dxa" w:w="1984"/>
          </w:tcPr>
          <w:p>
            <w:r/>
            <w:r>
              <w:rPr>
                <w:sz w:val="19"/>
              </w:rPr>
              <w:t>Événement / délai</w:t>
            </w:r>
          </w:p>
        </w:tc>
        <w:tc>
          <w:tcPr>
            <w:tcW w:type="dxa" w:w="7370"/>
          </w:tcPr>
          <w:p>
            <w:r/>
            <w:r>
              <w:rPr>
                <w:sz w:val="19"/>
              </w:rPr>
              <w:t>Voir « Échéance » ci-dessus ; peut aussi être lié à un courrier qui l'a déclenché.</w:t>
            </w:r>
          </w:p>
        </w:tc>
      </w:tr>
      <w:tr>
        <w:tc>
          <w:tcPr>
            <w:tcW w:type="dxa" w:w="1984"/>
          </w:tcPr>
          <w:p>
            <w:r/>
            <w:r>
              <w:rPr>
                <w:sz w:val="19"/>
              </w:rPr>
              <w:t>Bibliothèque (ressource documentaire)</w:t>
            </w:r>
          </w:p>
        </w:tc>
        <w:tc>
          <w:tcPr>
            <w:tcW w:type="dxa" w:w="7370"/>
          </w:tcPr>
          <w:p>
            <w:r/>
            <w:r>
              <w:rPr>
                <w:sz w:val="19"/>
              </w:rPr>
              <w:t>Jurisprudence, texte de loi, veille, modèle d'acte, consultation ou checklist ; les modèles sont utilisés par l'Atelier d'actes pour produire des actes rattachables à un dossier.</w:t>
            </w:r>
          </w:p>
        </w:tc>
      </w:tr>
    </w:tbl>
    <w:p/>
    <w:p>
      <w:r>
        <w:rPr>
          <w:b w:val="0"/>
          <w:i w:val="0"/>
          <w:sz w:val="21"/>
        </w:rPr>
        <w:t>Schéma de lecture simplifié des relations : un Client possède plusieurs Dossiers ; chaque Dossier est rattaché à un Utilisateur responsable et peut regrouper plusieurs Instances de procédure et être relié à d'autres Dossiers au sein d'une même Affaire ; un Dossier génère des Échéances, des Tâches, des Pièces, du Temps passé et des Communications ; les Factures et les Dépenses/Débours sont rattachées à un Dossier et à un Client ; les Rétrocessions sont rattachées à un Dossier et à un Utilisateur bénéficiaire ; le Courrier peut être rattaché à un Dossier et déclencher une Échéance.</w:t>
      </w:r>
    </w:p>
    <w:p>
      <w:pPr>
        <w:pStyle w:val="Heading1"/>
      </w:pPr>
      <w:r>
        <w:t>6. Règles métier transverses</w:t>
      </w:r>
    </w:p>
    <w:p>
      <w:pPr>
        <w:pStyle w:val="Heading2"/>
      </w:pPr>
      <w:r>
        <w:t>6.1 Export et impression sur chaque écran</w:t>
      </w:r>
    </w:p>
    <w:p>
      <w:r>
        <w:rPr>
          <w:b w:val="0"/>
          <w:i w:val="0"/>
          <w:sz w:val="21"/>
        </w:rPr>
        <w:t>Chaque écran de l'application dispose de deux actions génériques, visibles en haut à droite de l'en-tête : « Exporter (Excel) », qui extrait le ou les tableaux affichés en fichier Excel/CSV en conservant les filtres actifs, et « Imprimer / PDF », qui ouvre un rendu imprimable / exportable en PDF portant l'en-tête du cabinet (logo, raison sociale « JFC AVOCATS MALI », mention du Barreau du Mali) et la date d'édition. Cette capacité doit être traitée comme un service commun dès le MVP, applicable à n'importe quel écran (dossiers, compteur d'heures par collaborateur, état des impayés, dépenses…).</w:t>
      </w:r>
    </w:p>
    <w:p>
      <w:pPr>
        <w:pStyle w:val="Heading2"/>
      </w:pPr>
      <w:r>
        <w:t>6.2 Système d'alertes par délai</w:t>
      </w:r>
    </w:p>
    <w:tbl>
      <w:tblPr>
        <w:tblStyle w:val="TableGrid"/>
        <w:tblW w:type="auto" w:w="0"/>
        <w:jc w:val="center"/>
        <w:tblLook w:firstColumn="1" w:firstRow="1" w:lastColumn="0" w:lastRow="0" w:noHBand="0" w:noVBand="1" w:val="04A0"/>
      </w:tblPr>
      <w:tblGrid>
        <w:gridCol w:w="4873"/>
        <w:gridCol w:w="4873"/>
      </w:tblGrid>
      <w:tr>
        <w:tc>
          <w:tcPr>
            <w:tcW w:type="dxa" w:w="2268"/>
            <w:shd w:fill="1F2A44"/>
          </w:tcPr>
          <w:p>
            <w:r/>
            <w:r>
              <w:rPr>
                <w:b/>
                <w:color w:val="FFFFFF"/>
                <w:sz w:val="19"/>
              </w:rPr>
              <w:t>Code couleur</w:t>
            </w:r>
          </w:p>
        </w:tc>
        <w:tc>
          <w:tcPr>
            <w:tcW w:type="dxa" w:w="4535"/>
            <w:shd w:fill="1F2A44"/>
          </w:tcPr>
          <w:p>
            <w:r/>
            <w:r>
              <w:rPr>
                <w:b/>
                <w:color w:val="FFFFFF"/>
                <w:sz w:val="19"/>
              </w:rPr>
              <w:t>Seuil</w:t>
            </w:r>
          </w:p>
        </w:tc>
      </w:tr>
      <w:tr>
        <w:tc>
          <w:tcPr>
            <w:tcW w:type="dxa" w:w="2268"/>
          </w:tcPr>
          <w:p>
            <w:r/>
            <w:r>
              <w:rPr>
                <w:sz w:val="19"/>
              </w:rPr>
              <w:t>Rouge</w:t>
            </w:r>
          </w:p>
        </w:tc>
        <w:tc>
          <w:tcPr>
            <w:tcW w:type="dxa" w:w="4535"/>
          </w:tcPr>
          <w:p>
            <w:r/>
            <w:r>
              <w:rPr>
                <w:sz w:val="19"/>
              </w:rPr>
              <w:t>J-7 ou moins (délai imminent)</w:t>
            </w:r>
          </w:p>
        </w:tc>
      </w:tr>
      <w:tr>
        <w:tc>
          <w:tcPr>
            <w:tcW w:type="dxa" w:w="2268"/>
          </w:tcPr>
          <w:p>
            <w:r/>
            <w:r>
              <w:rPr>
                <w:sz w:val="19"/>
              </w:rPr>
              <w:t>Orange</w:t>
            </w:r>
          </w:p>
        </w:tc>
        <w:tc>
          <w:tcPr>
            <w:tcW w:type="dxa" w:w="4535"/>
          </w:tcPr>
          <w:p>
            <w:r/>
            <w:r>
              <w:rPr>
                <w:sz w:val="19"/>
              </w:rPr>
              <w:t>J-8 à J-15</w:t>
            </w:r>
          </w:p>
        </w:tc>
      </w:tr>
      <w:tr>
        <w:tc>
          <w:tcPr>
            <w:tcW w:type="dxa" w:w="2268"/>
          </w:tcPr>
          <w:p>
            <w:r/>
            <w:r>
              <w:rPr>
                <w:sz w:val="19"/>
              </w:rPr>
              <w:t>Bleu</w:t>
            </w:r>
          </w:p>
        </w:tc>
        <w:tc>
          <w:tcPr>
            <w:tcW w:type="dxa" w:w="4535"/>
          </w:tcPr>
          <w:p>
            <w:r/>
            <w:r>
              <w:rPr>
                <w:sz w:val="19"/>
              </w:rPr>
              <w:t>Au-delà de J-15</w:t>
            </w:r>
          </w:p>
        </w:tc>
      </w:tr>
    </w:tbl>
    <w:p/>
    <w:p>
      <w:r>
        <w:rPr>
          <w:b w:val="0"/>
          <w:i w:val="0"/>
          <w:sz w:val="21"/>
        </w:rPr>
        <w:t>Ce code couleur s'applique de façon homogène aux délais de procédure (Échéancier, fiche dossier), aux échéances administratives récurrentes du cabinet, aux alertes de renouvellement KYC et aux alertes RH. Par ailleurs, chaque délai de dossier déclenche des rappels automatiques à des jalons fixes : J-30, J-15, J-7, J-1 et jour J.</w:t>
      </w:r>
    </w:p>
    <w:p>
      <w:pPr>
        <w:pStyle w:val="Heading2"/>
      </w:pPr>
      <w:r>
        <w:t>6.3 Gestion multi-instance</w:t>
      </w:r>
    </w:p>
    <w:p>
      <w:r>
        <w:rPr>
          <w:b w:val="0"/>
          <w:i w:val="0"/>
          <w:sz w:val="21"/>
        </w:rPr>
        <w:t>Un même dossier peut être suivi à travers plusieurs degrés de juridiction (1re instance, appel, cassation / CCJA) sous une référence JURIA unique. Chaque instance conserve sa propre juridiction, son numéro de rôle (RG) et son état d'avancement. Un dossier peut en outre être relié à d'autres dossiers du même client au sein d'une « affaire » (ex. un contentieux et un dossier de conseil connexe).</w:t>
      </w:r>
    </w:p>
    <w:p>
      <w:pPr>
        <w:pStyle w:val="Heading2"/>
      </w:pPr>
      <w:r>
        <w:t>6.4 Rétrocessions d'honoraires par qualité</w:t>
      </w:r>
    </w:p>
    <w:tbl>
      <w:tblPr>
        <w:tblStyle w:val="TableGrid"/>
        <w:tblW w:type="auto" w:w="0"/>
        <w:jc w:val="center"/>
        <w:tblLook w:firstColumn="1" w:firstRow="1" w:lastColumn="0" w:lastRow="0" w:noHBand="0" w:noVBand="1" w:val="04A0"/>
      </w:tblPr>
      <w:tblGrid>
        <w:gridCol w:w="4873"/>
        <w:gridCol w:w="4873"/>
      </w:tblGrid>
      <w:tr>
        <w:tc>
          <w:tcPr>
            <w:tcW w:type="dxa" w:w="4535"/>
            <w:shd w:fill="1F2A44"/>
          </w:tcPr>
          <w:p>
            <w:r/>
            <w:r>
              <w:rPr>
                <w:b/>
                <w:color w:val="FFFFFF"/>
                <w:sz w:val="19"/>
              </w:rPr>
              <w:t>Qualité du bénéficiaire</w:t>
            </w:r>
          </w:p>
        </w:tc>
        <w:tc>
          <w:tcPr>
            <w:tcW w:type="dxa" w:w="2268"/>
            <w:shd w:fill="1F2A44"/>
          </w:tcPr>
          <w:p>
            <w:r/>
            <w:r>
              <w:rPr>
                <w:b/>
                <w:color w:val="FFFFFF"/>
                <w:sz w:val="19"/>
              </w:rPr>
              <w:t>Taux de rétrocession</w:t>
            </w:r>
          </w:p>
        </w:tc>
      </w:tr>
      <w:tr>
        <w:tc>
          <w:tcPr>
            <w:tcW w:type="dxa" w:w="4535"/>
          </w:tcPr>
          <w:p>
            <w:r/>
            <w:r>
              <w:rPr>
                <w:sz w:val="19"/>
              </w:rPr>
              <w:t>Associé (apporteur du dossier)</w:t>
            </w:r>
          </w:p>
        </w:tc>
        <w:tc>
          <w:tcPr>
            <w:tcW w:type="dxa" w:w="2268"/>
          </w:tcPr>
          <w:p>
            <w:r/>
            <w:r>
              <w:rPr>
                <w:sz w:val="19"/>
              </w:rPr>
              <w:t>30 %</w:t>
            </w:r>
          </w:p>
        </w:tc>
      </w:tr>
      <w:tr>
        <w:tc>
          <w:tcPr>
            <w:tcW w:type="dxa" w:w="4535"/>
          </w:tcPr>
          <w:p>
            <w:r/>
            <w:r>
              <w:rPr>
                <w:sz w:val="19"/>
              </w:rPr>
              <w:t>Collaborateur avocat / avocat stagiaire / Of Counsel</w:t>
            </w:r>
          </w:p>
        </w:tc>
        <w:tc>
          <w:tcPr>
            <w:tcW w:type="dxa" w:w="2268"/>
          </w:tcPr>
          <w:p>
            <w:r/>
            <w:r>
              <w:rPr>
                <w:sz w:val="19"/>
              </w:rPr>
              <w:t>25 %</w:t>
            </w:r>
          </w:p>
        </w:tc>
      </w:tr>
      <w:tr>
        <w:tc>
          <w:tcPr>
            <w:tcW w:type="dxa" w:w="4535"/>
          </w:tcPr>
          <w:p>
            <w:r/>
            <w:r>
              <w:rPr>
                <w:sz w:val="19"/>
              </w:rPr>
              <w:t>Collaborateur non-avocat</w:t>
            </w:r>
          </w:p>
        </w:tc>
        <w:tc>
          <w:tcPr>
            <w:tcW w:type="dxa" w:w="2268"/>
          </w:tcPr>
          <w:p>
            <w:r/>
            <w:r>
              <w:rPr>
                <w:sz w:val="19"/>
              </w:rPr>
              <w:t>10 %</w:t>
            </w:r>
          </w:p>
        </w:tc>
      </w:tr>
    </w:tbl>
    <w:p/>
    <w:p>
      <w:r>
        <w:rPr>
          <w:b w:val="0"/>
          <w:i w:val="0"/>
          <w:sz w:val="21"/>
        </w:rPr>
        <w:t>La rétrocession ne porte que sur l'apport de dossier et se calcule sur la base HT des honoraires du dossier (montant = base HT × taux). Règle « tout ou rien » : aucun versement n'est effectué avant que l'intégralité des honoraires du dossier n'ait été encaissée par le cabinet. Cycle de statut : en attente d'encaissement → à décaisser → décaissée.</w:t>
      </w:r>
    </w:p>
    <w:p>
      <w:pPr>
        <w:pStyle w:val="Heading2"/>
      </w:pPr>
      <w:r>
        <w:t>6.5 Pro Bono</w:t>
      </w:r>
    </w:p>
    <w:p>
      <w:r>
        <w:rPr>
          <w:b w:val="0"/>
          <w:i w:val="0"/>
          <w:sz w:val="21"/>
        </w:rPr>
        <w:t>Chaque avocat dispose d'un quota de 2 dossiers Pro Bono par mois (non facturés, non reportables). Des frais de dossier fixes de 45 000 FCFA restent néanmoins obligatoires (vignette de plaidoirie, consignation, formalités, huissier…). Au-delà du quota mensuel, la facturation des honoraires du dossier redevient obligatoire.</w:t>
      </w:r>
    </w:p>
    <w:p>
      <w:pPr>
        <w:pStyle w:val="Heading2"/>
      </w:pPr>
      <w:r>
        <w:t>6.6 Connaissance client (KYC) et conflits d'intérêts</w:t>
      </w:r>
    </w:p>
    <w:p>
      <w:r>
        <w:rPr>
          <w:b w:val="0"/>
          <w:i w:val="0"/>
          <w:sz w:val="21"/>
        </w:rPr>
        <w:t>Chaque client (personne physique ou morale) fait l'objet d'un suivi KYC dont le statut peut être « à jour », « pièce expirée » ou « à faire » ; les pièces expirées ou expirant sous 60 jours déclenchent une alerte. Le registre clients et les parties adverses de l'ensemble des dossiers existants constituent la base du contrôle des conflits d'intérêts, obligatoire et bloquant avant toute ouverture d'un nouveau dossier ; en cas de rapprochement détecté, une décision motivée d'un associé est requise (refus, orientation vers un confrère, ou acceptation motivée).</w:t>
      </w:r>
    </w:p>
    <w:p>
      <w:pPr>
        <w:pStyle w:val="Heading2"/>
      </w:pPr>
      <w:r>
        <w:t>6.7 Listes de valeurs paramétrables</w:t>
      </w:r>
    </w:p>
    <w:p>
      <w:r>
        <w:rPr>
          <w:b w:val="0"/>
          <w:i w:val="0"/>
          <w:sz w:val="21"/>
        </w:rPr>
        <w:t>L'ensemble des menus déroulants métier (natures de procédure, motifs de renvoi, résultats d'audience, types de courrier, catégories de dépense, types d'actes, qualités de rétrocession, catégories d'échéance…) doit être alimenté par une table de listes de valeurs paramétrables par la direction du cabinet, et non codé en dur. Chaque liste se termine par la valeur « Autre », qui ouvre un champ de description libre permettant de préciser le cas non prévu.</w:t>
      </w:r>
    </w:p>
    <w:p>
      <w:pPr>
        <w:pStyle w:val="Heading2"/>
      </w:pPr>
      <w:r>
        <w:t>6.8 Originaux et pièces physiques</w:t>
      </w:r>
    </w:p>
    <w:p>
      <w:r>
        <w:rPr>
          <w:b w:val="0"/>
          <w:i w:val="0"/>
          <w:sz w:val="21"/>
        </w:rPr>
        <w:t>Tout document original remis par un client (titre de propriété, contrat, pièce d'identité, acte notarié, décision de justice, statuts/RCCM, chèque/effet…) est enregistré dans un registre dédié avec son emplacement de conservation, et doit être restitué au client en fin de dossier — la restitution étant tracée pour éviter tout litige ultérieur.</w:t>
      </w:r>
    </w:p>
    <w:p>
      <w:pPr>
        <w:pStyle w:val="Heading1"/>
      </w:pPr>
      <w:r>
        <w:t>7. Exigences non fonctionnelles déduites</w:t>
      </w:r>
    </w:p>
    <w:p>
      <w:r>
        <w:rPr>
          <w:b w:val="0"/>
          <w:i w:val="0"/>
          <w:sz w:val="21"/>
        </w:rPr>
        <w:t>Les éléments ci-dessous sont ceux que l'on peut raisonnablement déduire de la démonstration et du mémo de passation. Les choix d'architecture technique proprement dits (hébergement, base de données, framework, sécurité applicative détaillée) sont définis dans des documents séparés (plan de mise en œuvre MVP, script de déploiement) et ne sont pas anticipés ici.</w:t>
      </w:r>
    </w:p>
    <w:p>
      <w:pPr>
        <w:pStyle w:val="ListBullet"/>
      </w:pPr>
      <w:r>
        <w:rPr>
          <w:sz w:val="21"/>
        </w:rPr>
        <w:t>Langue : l'intégralité de l'application, des documents générés et des libellés est en français.</w:t>
      </w:r>
    </w:p>
    <w:p>
      <w:pPr>
        <w:pStyle w:val="ListBullet"/>
      </w:pPr>
      <w:r>
        <w:rPr>
          <w:sz w:val="21"/>
        </w:rPr>
        <w:t>Devise : le franc CFA (FCFA / XOF) est la devise pivot de l'application ; une option multi-devises (EUR, USD, GBP, paramétrable) est prévue pour la facturation, avec conversion et contre-valeur FCFA systématique.</w:t>
      </w:r>
    </w:p>
    <w:p>
      <w:pPr>
        <w:pStyle w:val="ListBullet"/>
      </w:pPr>
      <w:r>
        <w:rPr>
          <w:sz w:val="21"/>
        </w:rPr>
        <w:t>Contexte juridique : l'application doit intégrer le vocabulaire et les échéances propres au droit malien et au droit OHADA (matières, actes uniformes, juridictions, CCJA, échéances fiscales et sociales DGI/INPS).</w:t>
      </w:r>
    </w:p>
    <w:p>
      <w:pPr>
        <w:pStyle w:val="ListBullet"/>
      </w:pPr>
      <w:r>
        <w:rPr>
          <w:sz w:val="21"/>
        </w:rPr>
        <w:t>Traçabilité : toutes les actions des utilisateurs doivent être journalisées (journal d'audit horodaté : qui, quoi, quand), en particulier sur les informations sensibles (facturation, rétrocessions, comptes bancaires).</w:t>
      </w:r>
    </w:p>
    <w:p>
      <w:pPr>
        <w:pStyle w:val="ListBullet"/>
      </w:pPr>
      <w:r>
        <w:rPr>
          <w:sz w:val="21"/>
        </w:rPr>
        <w:t>Accès concurrent : un mécanisme de détection d'activité concurrente et de verrouillage optimiste est attendu sur la fiche dossier, pour éviter les pertes de modifications lorsque plusieurs membres consultent ou modifient un même dossier.</w:t>
      </w:r>
    </w:p>
    <w:p>
      <w:pPr>
        <w:pStyle w:val="ListBullet"/>
      </w:pPr>
      <w:r>
        <w:rPr>
          <w:sz w:val="21"/>
        </w:rPr>
        <w:t>Édition documentaire : tous les documents générés (courriers, factures, actes, fiches de transmission) doivent porter l'en-tête du cabinet (logo et raison sociale).</w:t>
      </w:r>
    </w:p>
    <w:p>
      <w:pPr>
        <w:pStyle w:val="ListBullet"/>
      </w:pPr>
      <w:r>
        <w:rPr>
          <w:sz w:val="21"/>
        </w:rPr>
        <w:t>Hébergement et déploiement : les choix techniques précis (environnement d'hébergement, sécurité, sauvegardes) sont définis séparément et ne sont pas détaillés dans le présent document fonctionnel.</w:t>
      </w:r>
    </w:p>
    <w:p>
      <w:pPr>
        <w:pStyle w:val="Heading1"/>
      </w:pPr>
      <w:r>
        <w:t>8. Annexe — Nomenclatures et listes de référence</w:t>
      </w:r>
    </w:p>
    <w:p>
      <w:r>
        <w:rPr>
          <w:b w:val="0"/>
          <w:i w:val="0"/>
          <w:sz w:val="21"/>
        </w:rPr>
        <w:t>Les nomenclatures ci-dessous reprennent les listes de valeurs utilisées dans le prototype de démonstration. Conformément à la règle énoncée en section 6.7, elles doivent être implémentées comme des listes de valeurs paramétrables par la direction du cabinet (et non codées en dur), et se terminent systématiquement par « Autre ».</w:t>
      </w:r>
    </w:p>
    <w:p>
      <w:pPr>
        <w:pStyle w:val="Heading3"/>
      </w:pPr>
      <w:r>
        <w:t>A.1 Matières du dossier (ouverture)</w:t>
      </w:r>
    </w:p>
    <w:p>
      <w:pPr>
        <w:pStyle w:val="ListBullet2"/>
      </w:pPr>
      <w:r>
        <w:rPr>
          <w:sz w:val="21"/>
        </w:rPr>
        <w:t>CIV — Civil</w:t>
      </w:r>
    </w:p>
    <w:p>
      <w:pPr>
        <w:pStyle w:val="ListBullet2"/>
      </w:pPr>
      <w:r>
        <w:rPr>
          <w:sz w:val="21"/>
        </w:rPr>
        <w:t>FAM — Famille</w:t>
      </w:r>
    </w:p>
    <w:p>
      <w:pPr>
        <w:pStyle w:val="ListBullet2"/>
      </w:pPr>
      <w:r>
        <w:rPr>
          <w:sz w:val="21"/>
        </w:rPr>
        <w:t>PEN — Pénal</w:t>
      </w:r>
    </w:p>
    <w:p>
      <w:pPr>
        <w:pStyle w:val="ListBullet2"/>
      </w:pPr>
      <w:r>
        <w:rPr>
          <w:sz w:val="21"/>
        </w:rPr>
        <w:t>COM — Commercial</w:t>
      </w:r>
    </w:p>
    <w:p>
      <w:pPr>
        <w:pStyle w:val="ListBullet2"/>
      </w:pPr>
      <w:r>
        <w:rPr>
          <w:sz w:val="21"/>
        </w:rPr>
        <w:t>OHA — OHADA / affaires</w:t>
      </w:r>
    </w:p>
    <w:p>
      <w:pPr>
        <w:pStyle w:val="ListBullet2"/>
      </w:pPr>
      <w:r>
        <w:rPr>
          <w:sz w:val="21"/>
        </w:rPr>
        <w:t>SOC — Social / travail</w:t>
      </w:r>
    </w:p>
    <w:p>
      <w:pPr>
        <w:pStyle w:val="ListBullet2"/>
      </w:pPr>
      <w:r>
        <w:rPr>
          <w:sz w:val="21"/>
        </w:rPr>
        <w:t>FON — Foncier</w:t>
      </w:r>
    </w:p>
    <w:p>
      <w:pPr>
        <w:pStyle w:val="ListBullet2"/>
      </w:pPr>
      <w:r>
        <w:rPr>
          <w:sz w:val="21"/>
        </w:rPr>
        <w:t>IMM — Immobilier</w:t>
      </w:r>
    </w:p>
    <w:p>
      <w:pPr>
        <w:pStyle w:val="ListBullet2"/>
      </w:pPr>
      <w:r>
        <w:rPr>
          <w:sz w:val="21"/>
        </w:rPr>
        <w:t>ADM — Administratif</w:t>
      </w:r>
    </w:p>
    <w:p>
      <w:pPr>
        <w:pStyle w:val="ListBullet2"/>
      </w:pPr>
      <w:r>
        <w:rPr>
          <w:sz w:val="21"/>
        </w:rPr>
        <w:t>FIS — Fiscal</w:t>
      </w:r>
    </w:p>
    <w:p>
      <w:pPr>
        <w:pStyle w:val="ListBullet2"/>
      </w:pPr>
      <w:r>
        <w:rPr>
          <w:sz w:val="21"/>
        </w:rPr>
        <w:t>ARB — Arbitrage / CCJA</w:t>
      </w:r>
    </w:p>
    <w:p>
      <w:pPr>
        <w:pStyle w:val="ListBullet2"/>
      </w:pPr>
      <w:r>
        <w:rPr>
          <w:sz w:val="21"/>
        </w:rPr>
        <w:t>AFF — Droit des affaires (conseil)</w:t>
      </w:r>
    </w:p>
    <w:p>
      <w:pPr>
        <w:pStyle w:val="ListBullet2"/>
      </w:pPr>
      <w:r>
        <w:rPr>
          <w:sz w:val="21"/>
        </w:rPr>
        <w:t>STE — Sociétés (conseil)</w:t>
      </w:r>
    </w:p>
    <w:p>
      <w:pPr>
        <w:pStyle w:val="ListBullet2"/>
      </w:pPr>
      <w:r>
        <w:rPr>
          <w:sz w:val="21"/>
        </w:rPr>
        <w:t>AVI — Avis / consultation</w:t>
      </w:r>
    </w:p>
    <w:p>
      <w:pPr>
        <w:pStyle w:val="ListBullet2"/>
      </w:pPr>
      <w:r>
        <w:rPr>
          <w:sz w:val="21"/>
        </w:rPr>
        <w:t>IND — Indéterminée (à qualifier)</w:t>
      </w:r>
    </w:p>
    <w:p>
      <w:pPr>
        <w:pStyle w:val="Heading3"/>
      </w:pPr>
      <w:r>
        <w:t>A.2 Nature de la procédure (rôle d'audience)</w:t>
      </w:r>
    </w:p>
    <w:p>
      <w:pPr>
        <w:pStyle w:val="ListBullet2"/>
      </w:pPr>
      <w:r>
        <w:rPr>
          <w:sz w:val="21"/>
        </w:rPr>
        <w:t>Annulation de vente</w:t>
      </w:r>
    </w:p>
    <w:p>
      <w:pPr>
        <w:pStyle w:val="ListBullet2"/>
      </w:pPr>
      <w:r>
        <w:rPr>
          <w:sz w:val="21"/>
        </w:rPr>
        <w:t>Recouvrement de créance</w:t>
      </w:r>
    </w:p>
    <w:p>
      <w:pPr>
        <w:pStyle w:val="ListBullet2"/>
      </w:pPr>
      <w:r>
        <w:rPr>
          <w:sz w:val="21"/>
        </w:rPr>
        <w:t>Réclamation de droits &amp; dommages-intérêts</w:t>
      </w:r>
    </w:p>
    <w:p>
      <w:pPr>
        <w:pStyle w:val="ListBullet2"/>
      </w:pPr>
      <w:r>
        <w:rPr>
          <w:sz w:val="21"/>
        </w:rPr>
        <w:t>Escroquerie</w:t>
      </w:r>
    </w:p>
    <w:p>
      <w:pPr>
        <w:pStyle w:val="ListBullet2"/>
      </w:pPr>
      <w:r>
        <w:rPr>
          <w:sz w:val="21"/>
        </w:rPr>
        <w:t>Abus de confiance</w:t>
      </w:r>
    </w:p>
    <w:p>
      <w:pPr>
        <w:pStyle w:val="ListBullet2"/>
      </w:pPr>
      <w:r>
        <w:rPr>
          <w:sz w:val="21"/>
        </w:rPr>
        <w:t>Divorce / droit de la famille</w:t>
      </w:r>
    </w:p>
    <w:p>
      <w:pPr>
        <w:pStyle w:val="ListBullet2"/>
      </w:pPr>
      <w:r>
        <w:rPr>
          <w:sz w:val="21"/>
        </w:rPr>
        <w:t>Succession / partage</w:t>
      </w:r>
    </w:p>
    <w:p>
      <w:pPr>
        <w:pStyle w:val="ListBullet2"/>
      </w:pPr>
      <w:r>
        <w:rPr>
          <w:sz w:val="21"/>
        </w:rPr>
        <w:t>Licenciement / litige social</w:t>
      </w:r>
    </w:p>
    <w:p>
      <w:pPr>
        <w:pStyle w:val="ListBullet2"/>
      </w:pPr>
      <w:r>
        <w:rPr>
          <w:sz w:val="21"/>
        </w:rPr>
        <w:t>Bail / expulsion</w:t>
      </w:r>
    </w:p>
    <w:p>
      <w:pPr>
        <w:pStyle w:val="ListBullet2"/>
      </w:pPr>
      <w:r>
        <w:rPr>
          <w:sz w:val="21"/>
        </w:rPr>
        <w:t>Exécution / saisie</w:t>
      </w:r>
    </w:p>
    <w:p>
      <w:pPr>
        <w:pStyle w:val="ListBullet2"/>
      </w:pPr>
      <w:r>
        <w:rPr>
          <w:sz w:val="21"/>
        </w:rPr>
        <w:t>Autre</w:t>
      </w:r>
    </w:p>
    <w:p>
      <w:pPr>
        <w:pStyle w:val="Heading3"/>
      </w:pPr>
      <w:r>
        <w:t>A.3 Motifs de renvoi</w:t>
      </w:r>
    </w:p>
    <w:p>
      <w:pPr>
        <w:pStyle w:val="ListBullet2"/>
      </w:pPr>
      <w:r>
        <w:rPr>
          <w:sz w:val="21"/>
        </w:rPr>
        <w:t>Dépôt de conclusions</w:t>
      </w:r>
    </w:p>
    <w:p>
      <w:pPr>
        <w:pStyle w:val="ListBullet2"/>
      </w:pPr>
      <w:r>
        <w:rPr>
          <w:sz w:val="21"/>
        </w:rPr>
        <w:t>Répliques de la partie adverse</w:t>
      </w:r>
    </w:p>
    <w:p>
      <w:pPr>
        <w:pStyle w:val="ListBullet2"/>
      </w:pPr>
      <w:r>
        <w:rPr>
          <w:sz w:val="21"/>
        </w:rPr>
        <w:t>Production / communication de pièces</w:t>
      </w:r>
    </w:p>
    <w:p>
      <w:pPr>
        <w:pStyle w:val="ListBullet2"/>
      </w:pPr>
      <w:r>
        <w:rPr>
          <w:sz w:val="21"/>
        </w:rPr>
        <w:t>Constitution d'un nouveau conseil</w:t>
      </w:r>
    </w:p>
    <w:p>
      <w:pPr>
        <w:pStyle w:val="ListBullet2"/>
      </w:pPr>
      <w:r>
        <w:rPr>
          <w:sz w:val="21"/>
        </w:rPr>
        <w:t>Comparution des parties</w:t>
      </w:r>
    </w:p>
    <w:p>
      <w:pPr>
        <w:pStyle w:val="ListBullet2"/>
      </w:pPr>
      <w:r>
        <w:rPr>
          <w:sz w:val="21"/>
        </w:rPr>
        <w:t>Absence / défaut d'une partie</w:t>
      </w:r>
    </w:p>
    <w:p>
      <w:pPr>
        <w:pStyle w:val="ListBullet2"/>
      </w:pPr>
      <w:r>
        <w:rPr>
          <w:sz w:val="21"/>
        </w:rPr>
        <w:t>Renvoi d'un commun accord</w:t>
      </w:r>
    </w:p>
    <w:p>
      <w:pPr>
        <w:pStyle w:val="ListBullet2"/>
      </w:pPr>
      <w:r>
        <w:rPr>
          <w:sz w:val="21"/>
        </w:rPr>
        <w:t>Régularisation de la procédure</w:t>
      </w:r>
    </w:p>
    <w:p>
      <w:pPr>
        <w:pStyle w:val="ListBullet2"/>
      </w:pPr>
      <w:r>
        <w:rPr>
          <w:sz w:val="21"/>
        </w:rPr>
        <w:t>Assignation / réassignation</w:t>
      </w:r>
    </w:p>
    <w:p>
      <w:pPr>
        <w:pStyle w:val="ListBullet2"/>
      </w:pPr>
      <w:r>
        <w:rPr>
          <w:sz w:val="21"/>
        </w:rPr>
        <w:t>Indisponibilité de la juridiction</w:t>
      </w:r>
    </w:p>
    <w:p>
      <w:pPr>
        <w:pStyle w:val="ListBullet2"/>
      </w:pPr>
      <w:r>
        <w:rPr>
          <w:sz w:val="21"/>
        </w:rPr>
        <w:t>Autre</w:t>
      </w:r>
    </w:p>
    <w:p>
      <w:pPr>
        <w:pStyle w:val="Heading3"/>
      </w:pPr>
      <w:r>
        <w:t>A.4 Résultats d'audience</w:t>
      </w:r>
    </w:p>
    <w:p>
      <w:pPr>
        <w:pStyle w:val="ListBullet2"/>
      </w:pPr>
      <w:r>
        <w:rPr>
          <w:sz w:val="21"/>
        </w:rPr>
        <w:t>Renvoi</w:t>
      </w:r>
    </w:p>
    <w:p>
      <w:pPr>
        <w:pStyle w:val="ListBullet2"/>
      </w:pPr>
      <w:r>
        <w:rPr>
          <w:sz w:val="21"/>
        </w:rPr>
        <w:t>Mise en délibéré</w:t>
      </w:r>
    </w:p>
    <w:p>
      <w:pPr>
        <w:pStyle w:val="ListBullet2"/>
      </w:pPr>
      <w:r>
        <w:rPr>
          <w:sz w:val="21"/>
        </w:rPr>
        <w:t>Affaire plaidée</w:t>
      </w:r>
    </w:p>
    <w:p>
      <w:pPr>
        <w:pStyle w:val="ListBullet2"/>
      </w:pPr>
      <w:r>
        <w:rPr>
          <w:sz w:val="21"/>
        </w:rPr>
        <w:t>Radiation</w:t>
      </w:r>
    </w:p>
    <w:p>
      <w:pPr>
        <w:pStyle w:val="ListBullet2"/>
      </w:pPr>
      <w:r>
        <w:rPr>
          <w:sz w:val="21"/>
        </w:rPr>
        <w:t>Jonction de procédures</w:t>
      </w:r>
    </w:p>
    <w:p>
      <w:pPr>
        <w:pStyle w:val="ListBullet2"/>
      </w:pPr>
      <w:r>
        <w:rPr>
          <w:sz w:val="21"/>
        </w:rPr>
        <w:t>Disjonction</w:t>
      </w:r>
    </w:p>
    <w:p>
      <w:pPr>
        <w:pStyle w:val="ListBullet2"/>
      </w:pPr>
      <w:r>
        <w:rPr>
          <w:sz w:val="21"/>
        </w:rPr>
        <w:t>Sursis à statuer</w:t>
      </w:r>
    </w:p>
    <w:p>
      <w:pPr>
        <w:pStyle w:val="ListBullet2"/>
      </w:pPr>
      <w:r>
        <w:rPr>
          <w:sz w:val="21"/>
        </w:rPr>
        <w:t>Désistement</w:t>
      </w:r>
    </w:p>
    <w:p>
      <w:pPr>
        <w:pStyle w:val="ListBullet2"/>
      </w:pPr>
      <w:r>
        <w:rPr>
          <w:sz w:val="21"/>
        </w:rPr>
        <w:t>Conciliation / médiation</w:t>
      </w:r>
    </w:p>
    <w:p>
      <w:pPr>
        <w:pStyle w:val="ListBullet2"/>
      </w:pPr>
      <w:r>
        <w:rPr>
          <w:sz w:val="21"/>
        </w:rPr>
        <w:t>Incompétence</w:t>
      </w:r>
    </w:p>
    <w:p>
      <w:pPr>
        <w:pStyle w:val="ListBullet2"/>
      </w:pPr>
      <w:r>
        <w:rPr>
          <w:sz w:val="21"/>
        </w:rPr>
        <w:t>Réouverture des débats</w:t>
      </w:r>
    </w:p>
    <w:p>
      <w:pPr>
        <w:pStyle w:val="ListBullet2"/>
      </w:pPr>
      <w:r>
        <w:rPr>
          <w:sz w:val="21"/>
        </w:rPr>
        <w:t>Comparution personnelle</w:t>
      </w:r>
    </w:p>
    <w:p>
      <w:pPr>
        <w:pStyle w:val="ListBullet2"/>
      </w:pPr>
      <w:r>
        <w:rPr>
          <w:sz w:val="21"/>
        </w:rPr>
        <w:t>Expertise ordonnée</w:t>
      </w:r>
    </w:p>
    <w:p>
      <w:pPr>
        <w:pStyle w:val="ListBullet2"/>
      </w:pPr>
      <w:r>
        <w:rPr>
          <w:sz w:val="21"/>
        </w:rPr>
        <w:t>Audience de mise en état</w:t>
      </w:r>
    </w:p>
    <w:p>
      <w:pPr>
        <w:pStyle w:val="ListBullet2"/>
      </w:pPr>
      <w:r>
        <w:rPr>
          <w:sz w:val="21"/>
        </w:rPr>
        <w:t>Autre</w:t>
      </w:r>
    </w:p>
    <w:p>
      <w:pPr>
        <w:pStyle w:val="Heading3"/>
      </w:pPr>
      <w:r>
        <w:t>A.5 Types de diligence (planning des diligences)</w:t>
      </w:r>
    </w:p>
    <w:p>
      <w:pPr>
        <w:pStyle w:val="ListBullet2"/>
      </w:pPr>
      <w:r>
        <w:rPr>
          <w:sz w:val="21"/>
        </w:rPr>
        <w:t>Audition / assistance en juridiction</w:t>
      </w:r>
    </w:p>
    <w:p>
      <w:pPr>
        <w:pStyle w:val="ListBullet2"/>
      </w:pPr>
      <w:r>
        <w:rPr>
          <w:sz w:val="21"/>
        </w:rPr>
        <w:t>Assistance en unité d'enquête</w:t>
      </w:r>
    </w:p>
    <w:p>
      <w:pPr>
        <w:pStyle w:val="ListBullet2"/>
      </w:pPr>
      <w:r>
        <w:rPr>
          <w:sz w:val="21"/>
        </w:rPr>
        <w:t>Formalité (greffe, RCCM, notaire…)</w:t>
      </w:r>
    </w:p>
    <w:p>
      <w:pPr>
        <w:pStyle w:val="ListBullet2"/>
      </w:pPr>
      <w:r>
        <w:rPr>
          <w:sz w:val="21"/>
        </w:rPr>
        <w:t>Diligence / démarche</w:t>
      </w:r>
    </w:p>
    <w:p>
      <w:pPr>
        <w:pStyle w:val="ListBullet2"/>
      </w:pPr>
      <w:r>
        <w:rPr>
          <w:sz w:val="21"/>
        </w:rPr>
        <w:t>Rendez-vous client / partenaire</w:t>
      </w:r>
    </w:p>
    <w:p>
      <w:pPr>
        <w:pStyle w:val="ListBullet2"/>
      </w:pPr>
      <w:r>
        <w:rPr>
          <w:sz w:val="21"/>
        </w:rPr>
        <w:t>Assistance à expertise</w:t>
      </w:r>
    </w:p>
    <w:p>
      <w:pPr>
        <w:pStyle w:val="ListBullet2"/>
      </w:pPr>
      <w:r>
        <w:rPr>
          <w:sz w:val="21"/>
        </w:rPr>
        <w:t>Autre</w:t>
      </w:r>
    </w:p>
    <w:p>
      <w:pPr>
        <w:pStyle w:val="Heading3"/>
      </w:pPr>
      <w:r>
        <w:t>A.6 Types de courrier</w:t>
      </w:r>
    </w:p>
    <w:p>
      <w:pPr>
        <w:pStyle w:val="ListBullet2"/>
      </w:pPr>
      <w:r>
        <w:rPr>
          <w:sz w:val="21"/>
        </w:rPr>
        <w:t>Lettre</w:t>
      </w:r>
    </w:p>
    <w:p>
      <w:pPr>
        <w:pStyle w:val="ListBullet2"/>
      </w:pPr>
      <w:r>
        <w:rPr>
          <w:sz w:val="21"/>
        </w:rPr>
        <w:t>Acte d'huissier</w:t>
      </w:r>
    </w:p>
    <w:p>
      <w:pPr>
        <w:pStyle w:val="ListBullet2"/>
      </w:pPr>
      <w:r>
        <w:rPr>
          <w:sz w:val="21"/>
        </w:rPr>
        <w:t>Acte de notaire</w:t>
      </w:r>
    </w:p>
    <w:p>
      <w:pPr>
        <w:pStyle w:val="ListBullet2"/>
      </w:pPr>
      <w:r>
        <w:rPr>
          <w:sz w:val="21"/>
        </w:rPr>
        <w:t>Décision de justice</w:t>
      </w:r>
    </w:p>
    <w:p>
      <w:pPr>
        <w:pStyle w:val="ListBullet2"/>
      </w:pPr>
      <w:r>
        <w:rPr>
          <w:sz w:val="21"/>
        </w:rPr>
        <w:t>Conclusions</w:t>
      </w:r>
    </w:p>
    <w:p>
      <w:pPr>
        <w:pStyle w:val="ListBullet2"/>
      </w:pPr>
      <w:r>
        <w:rPr>
          <w:sz w:val="21"/>
        </w:rPr>
        <w:t>Requête</w:t>
      </w:r>
    </w:p>
    <w:p>
      <w:pPr>
        <w:pStyle w:val="ListBullet2"/>
      </w:pPr>
      <w:r>
        <w:rPr>
          <w:sz w:val="21"/>
        </w:rPr>
        <w:t>Assignation</w:t>
      </w:r>
    </w:p>
    <w:p>
      <w:pPr>
        <w:pStyle w:val="ListBullet2"/>
      </w:pPr>
      <w:r>
        <w:rPr>
          <w:sz w:val="21"/>
        </w:rPr>
        <w:t>Notification</w:t>
      </w:r>
    </w:p>
    <w:p>
      <w:pPr>
        <w:pStyle w:val="ListBullet2"/>
      </w:pPr>
      <w:r>
        <w:rPr>
          <w:sz w:val="21"/>
        </w:rPr>
        <w:t>Convocation</w:t>
      </w:r>
    </w:p>
    <w:p>
      <w:pPr>
        <w:pStyle w:val="ListBullet2"/>
      </w:pPr>
      <w:r>
        <w:rPr>
          <w:sz w:val="21"/>
        </w:rPr>
        <w:t>Courrier administratif</w:t>
      </w:r>
    </w:p>
    <w:p>
      <w:pPr>
        <w:pStyle w:val="ListBullet2"/>
      </w:pPr>
      <w:r>
        <w:rPr>
          <w:sz w:val="21"/>
        </w:rPr>
        <w:t>Autre</w:t>
      </w:r>
    </w:p>
    <w:p>
      <w:pPr>
        <w:pStyle w:val="Heading3"/>
      </w:pPr>
      <w:r>
        <w:t>A.7 Nature du correspondant (courrier)</w:t>
      </w:r>
    </w:p>
    <w:p>
      <w:pPr>
        <w:pStyle w:val="ListBullet2"/>
      </w:pPr>
      <w:r>
        <w:rPr>
          <w:sz w:val="21"/>
        </w:rPr>
        <w:t>Client</w:t>
      </w:r>
    </w:p>
    <w:p>
      <w:pPr>
        <w:pStyle w:val="ListBullet2"/>
      </w:pPr>
      <w:r>
        <w:rPr>
          <w:sz w:val="21"/>
        </w:rPr>
        <w:t>Confrère</w:t>
      </w:r>
    </w:p>
    <w:p>
      <w:pPr>
        <w:pStyle w:val="ListBullet2"/>
      </w:pPr>
      <w:r>
        <w:rPr>
          <w:sz w:val="21"/>
        </w:rPr>
        <w:t>Huissier</w:t>
      </w:r>
    </w:p>
    <w:p>
      <w:pPr>
        <w:pStyle w:val="ListBullet2"/>
      </w:pPr>
      <w:r>
        <w:rPr>
          <w:sz w:val="21"/>
        </w:rPr>
        <w:t>Notaire</w:t>
      </w:r>
    </w:p>
    <w:p>
      <w:pPr>
        <w:pStyle w:val="ListBullet2"/>
      </w:pPr>
      <w:r>
        <w:rPr>
          <w:sz w:val="21"/>
        </w:rPr>
        <w:t>Juridiction</w:t>
      </w:r>
    </w:p>
    <w:p>
      <w:pPr>
        <w:pStyle w:val="ListBullet2"/>
      </w:pPr>
      <w:r>
        <w:rPr>
          <w:sz w:val="21"/>
        </w:rPr>
        <w:t>Administration</w:t>
      </w:r>
    </w:p>
    <w:p>
      <w:pPr>
        <w:pStyle w:val="ListBullet2"/>
      </w:pPr>
      <w:r>
        <w:rPr>
          <w:sz w:val="21"/>
        </w:rPr>
        <w:t>Expert</w:t>
      </w:r>
    </w:p>
    <w:p>
      <w:pPr>
        <w:pStyle w:val="ListBullet2"/>
      </w:pPr>
      <w:r>
        <w:rPr>
          <w:sz w:val="21"/>
        </w:rPr>
        <w:t>Banque</w:t>
      </w:r>
    </w:p>
    <w:p>
      <w:pPr>
        <w:pStyle w:val="ListBullet2"/>
      </w:pPr>
      <w:r>
        <w:rPr>
          <w:sz w:val="21"/>
        </w:rPr>
        <w:t>Partie adverse</w:t>
      </w:r>
    </w:p>
    <w:p>
      <w:pPr>
        <w:pStyle w:val="ListBullet2"/>
      </w:pPr>
      <w:r>
        <w:rPr>
          <w:sz w:val="21"/>
        </w:rPr>
        <w:t>Autre</w:t>
      </w:r>
    </w:p>
    <w:p>
      <w:pPr>
        <w:pStyle w:val="Heading3"/>
      </w:pPr>
      <w:r>
        <w:t>A.8 Catégories de dépense</w:t>
      </w:r>
    </w:p>
    <w:p>
      <w:r>
        <w:rPr>
          <w:b w:val="0"/>
          <w:i/>
          <w:color w:val="6B7280"/>
          <w:sz w:val="19"/>
        </w:rPr>
        <w:t>Les catégories marquées « (débours) » constituent le sous-ensemble des dépenses systématiquement refacturables au client.</w:t>
      </w:r>
    </w:p>
    <w:p>
      <w:pPr>
        <w:pStyle w:val="ListBullet2"/>
      </w:pPr>
      <w:r>
        <w:rPr>
          <w:sz w:val="21"/>
        </w:rPr>
        <w:t>Loyer</w:t>
      </w:r>
    </w:p>
    <w:p>
      <w:pPr>
        <w:pStyle w:val="ListBullet2"/>
      </w:pPr>
      <w:r>
        <w:rPr>
          <w:sz w:val="21"/>
        </w:rPr>
        <w:t>Eau</w:t>
      </w:r>
    </w:p>
    <w:p>
      <w:pPr>
        <w:pStyle w:val="ListBullet2"/>
      </w:pPr>
      <w:r>
        <w:rPr>
          <w:sz w:val="21"/>
        </w:rPr>
        <w:t>Électricité</w:t>
      </w:r>
    </w:p>
    <w:p>
      <w:pPr>
        <w:pStyle w:val="ListBullet2"/>
      </w:pPr>
      <w:r>
        <w:rPr>
          <w:sz w:val="21"/>
        </w:rPr>
        <w:t>Nettoyage</w:t>
      </w:r>
    </w:p>
    <w:p>
      <w:pPr>
        <w:pStyle w:val="ListBullet2"/>
      </w:pPr>
      <w:r>
        <w:rPr>
          <w:sz w:val="21"/>
        </w:rPr>
        <w:t>Carburant</w:t>
      </w:r>
    </w:p>
    <w:p>
      <w:pPr>
        <w:pStyle w:val="ListBullet2"/>
      </w:pPr>
      <w:r>
        <w:rPr>
          <w:sz w:val="21"/>
        </w:rPr>
        <w:t>Téléphonie</w:t>
      </w:r>
    </w:p>
    <w:p>
      <w:pPr>
        <w:pStyle w:val="ListBullet2"/>
      </w:pPr>
      <w:r>
        <w:rPr>
          <w:sz w:val="21"/>
        </w:rPr>
        <w:t>Internet</w:t>
      </w:r>
    </w:p>
    <w:p>
      <w:pPr>
        <w:pStyle w:val="ListBullet2"/>
      </w:pPr>
      <w:r>
        <w:rPr>
          <w:sz w:val="21"/>
        </w:rPr>
        <w:t>Consommables</w:t>
      </w:r>
    </w:p>
    <w:p>
      <w:pPr>
        <w:pStyle w:val="ListBullet2"/>
      </w:pPr>
      <w:r>
        <w:rPr>
          <w:sz w:val="21"/>
        </w:rPr>
        <w:t>Fournitures</w:t>
      </w:r>
    </w:p>
    <w:p>
      <w:pPr>
        <w:pStyle w:val="ListBullet2"/>
      </w:pPr>
      <w:r>
        <w:rPr>
          <w:sz w:val="21"/>
        </w:rPr>
        <w:t>Voyage de l'avocat</w:t>
      </w:r>
    </w:p>
    <w:p>
      <w:pPr>
        <w:pStyle w:val="ListBullet2"/>
      </w:pPr>
      <w:r>
        <w:rPr>
          <w:sz w:val="21"/>
        </w:rPr>
        <w:t>Hébergement / hôtel</w:t>
      </w:r>
    </w:p>
    <w:p>
      <w:pPr>
        <w:pStyle w:val="ListBullet2"/>
      </w:pPr>
      <w:r>
        <w:rPr>
          <w:sz w:val="21"/>
        </w:rPr>
        <w:t>Restauration</w:t>
      </w:r>
    </w:p>
    <w:p>
      <w:pPr>
        <w:pStyle w:val="ListBullet2"/>
      </w:pPr>
      <w:r>
        <w:rPr>
          <w:sz w:val="21"/>
        </w:rPr>
        <w:t>Entretien</w:t>
      </w:r>
    </w:p>
    <w:p>
      <w:pPr>
        <w:pStyle w:val="ListBullet2"/>
      </w:pPr>
      <w:r>
        <w:rPr>
          <w:sz w:val="21"/>
        </w:rPr>
        <w:t>Vignette de plaidoirie</w:t>
      </w:r>
    </w:p>
    <w:p>
      <w:pPr>
        <w:pStyle w:val="ListBullet2"/>
      </w:pPr>
      <w:r>
        <w:rPr>
          <w:sz w:val="21"/>
        </w:rPr>
        <w:t>Frais d'huissier (débours)</w:t>
      </w:r>
    </w:p>
    <w:p>
      <w:pPr>
        <w:pStyle w:val="ListBullet2"/>
      </w:pPr>
      <w:r>
        <w:rPr>
          <w:sz w:val="21"/>
        </w:rPr>
        <w:t>Frais de notaire (débours)</w:t>
      </w:r>
    </w:p>
    <w:p>
      <w:pPr>
        <w:pStyle w:val="ListBullet2"/>
      </w:pPr>
      <w:r>
        <w:rPr>
          <w:sz w:val="21"/>
        </w:rPr>
        <w:t>Formalités / greffe (débours)</w:t>
      </w:r>
    </w:p>
    <w:p>
      <w:pPr>
        <w:pStyle w:val="ListBullet2"/>
      </w:pPr>
      <w:r>
        <w:rPr>
          <w:sz w:val="21"/>
        </w:rPr>
        <w:t>Diligences (débours)</w:t>
      </w:r>
    </w:p>
    <w:p>
      <w:pPr>
        <w:pStyle w:val="ListBullet2"/>
      </w:pPr>
      <w:r>
        <w:rPr>
          <w:sz w:val="21"/>
        </w:rPr>
        <w:t>Consignation (débours)</w:t>
      </w:r>
    </w:p>
    <w:p>
      <w:pPr>
        <w:pStyle w:val="ListBullet2"/>
      </w:pPr>
      <w:r>
        <w:rPr>
          <w:sz w:val="21"/>
        </w:rPr>
        <w:t>Frais de mission</w:t>
      </w:r>
    </w:p>
    <w:p>
      <w:pPr>
        <w:pStyle w:val="ListBullet2"/>
      </w:pPr>
      <w:r>
        <w:rPr>
          <w:sz w:val="21"/>
        </w:rPr>
        <w:t>Autre</w:t>
      </w:r>
    </w:p>
    <w:p>
      <w:pPr>
        <w:pStyle w:val="Heading3"/>
      </w:pPr>
      <w:r>
        <w:t>A.9 Catégories d'échéance administrative</w:t>
      </w:r>
    </w:p>
    <w:p>
      <w:pPr>
        <w:pStyle w:val="ListBullet2"/>
      </w:pPr>
      <w:r>
        <w:rPr>
          <w:sz w:val="21"/>
        </w:rPr>
        <w:t>Fiscale</w:t>
      </w:r>
    </w:p>
    <w:p>
      <w:pPr>
        <w:pStyle w:val="ListBullet2"/>
      </w:pPr>
      <w:r>
        <w:rPr>
          <w:sz w:val="21"/>
        </w:rPr>
        <w:t>Sociale</w:t>
      </w:r>
    </w:p>
    <w:p>
      <w:pPr>
        <w:pStyle w:val="ListBullet2"/>
      </w:pPr>
      <w:r>
        <w:rPr>
          <w:sz w:val="21"/>
        </w:rPr>
        <w:t>Ordinale (Ordre / Barreau)</w:t>
      </w:r>
    </w:p>
    <w:p>
      <w:pPr>
        <w:pStyle w:val="ListBullet2"/>
      </w:pPr>
      <w:r>
        <w:rPr>
          <w:sz w:val="21"/>
        </w:rPr>
        <w:t>Assurance</w:t>
      </w:r>
    </w:p>
    <w:p>
      <w:pPr>
        <w:pStyle w:val="ListBullet2"/>
      </w:pPr>
      <w:r>
        <w:rPr>
          <w:sz w:val="21"/>
        </w:rPr>
        <w:t>Contrat / abonnement</w:t>
      </w:r>
    </w:p>
    <w:p>
      <w:pPr>
        <w:pStyle w:val="ListBullet2"/>
      </w:pPr>
      <w:r>
        <w:rPr>
          <w:sz w:val="21"/>
        </w:rPr>
        <w:t>Ressources humaines</w:t>
      </w:r>
    </w:p>
    <w:p>
      <w:pPr>
        <w:pStyle w:val="ListBullet2"/>
      </w:pPr>
      <w:r>
        <w:rPr>
          <w:sz w:val="21"/>
        </w:rPr>
        <w:t>Autre</w:t>
      </w:r>
    </w:p>
    <w:p>
      <w:pPr>
        <w:pStyle w:val="Heading3"/>
      </w:pPr>
      <w:r>
        <w:t>A.10 Périodicités (échéances administratives)</w:t>
      </w:r>
    </w:p>
    <w:p>
      <w:pPr>
        <w:pStyle w:val="ListBullet2"/>
      </w:pPr>
      <w:r>
        <w:rPr>
          <w:sz w:val="21"/>
        </w:rPr>
        <w:t>Mensuelle</w:t>
      </w:r>
    </w:p>
    <w:p>
      <w:pPr>
        <w:pStyle w:val="ListBullet2"/>
      </w:pPr>
      <w:r>
        <w:rPr>
          <w:sz w:val="21"/>
        </w:rPr>
        <w:t>Trimestrielle</w:t>
      </w:r>
    </w:p>
    <w:p>
      <w:pPr>
        <w:pStyle w:val="ListBullet2"/>
      </w:pPr>
      <w:r>
        <w:rPr>
          <w:sz w:val="21"/>
        </w:rPr>
        <w:t>Semestrielle</w:t>
      </w:r>
    </w:p>
    <w:p>
      <w:pPr>
        <w:pStyle w:val="ListBullet2"/>
      </w:pPr>
      <w:r>
        <w:rPr>
          <w:sz w:val="21"/>
        </w:rPr>
        <w:t>Annuelle</w:t>
      </w:r>
    </w:p>
    <w:p>
      <w:pPr>
        <w:pStyle w:val="ListBullet2"/>
      </w:pPr>
      <w:r>
        <w:rPr>
          <w:sz w:val="21"/>
        </w:rPr>
        <w:t>Ponctuelle</w:t>
      </w:r>
    </w:p>
    <w:p>
      <w:pPr>
        <w:pStyle w:val="Heading3"/>
      </w:pPr>
      <w:r>
        <w:t>A.11 Types d'original / pièce confiée</w:t>
      </w:r>
    </w:p>
    <w:p>
      <w:pPr>
        <w:pStyle w:val="ListBullet2"/>
      </w:pPr>
      <w:r>
        <w:rPr>
          <w:sz w:val="21"/>
        </w:rPr>
        <w:t>Titre de propriété</w:t>
      </w:r>
    </w:p>
    <w:p>
      <w:pPr>
        <w:pStyle w:val="ListBullet2"/>
      </w:pPr>
      <w:r>
        <w:rPr>
          <w:sz w:val="21"/>
        </w:rPr>
        <w:t>Contrat original</w:t>
      </w:r>
    </w:p>
    <w:p>
      <w:pPr>
        <w:pStyle w:val="ListBullet2"/>
      </w:pPr>
      <w:r>
        <w:rPr>
          <w:sz w:val="21"/>
        </w:rPr>
        <w:t>Pièce d'identité</w:t>
      </w:r>
    </w:p>
    <w:p>
      <w:pPr>
        <w:pStyle w:val="ListBullet2"/>
      </w:pPr>
      <w:r>
        <w:rPr>
          <w:sz w:val="21"/>
        </w:rPr>
        <w:t>Acte notarié</w:t>
      </w:r>
    </w:p>
    <w:p>
      <w:pPr>
        <w:pStyle w:val="ListBullet2"/>
      </w:pPr>
      <w:r>
        <w:rPr>
          <w:sz w:val="21"/>
        </w:rPr>
        <w:t>Décision de justice</w:t>
      </w:r>
    </w:p>
    <w:p>
      <w:pPr>
        <w:pStyle w:val="ListBullet2"/>
      </w:pPr>
      <w:r>
        <w:rPr>
          <w:sz w:val="21"/>
        </w:rPr>
        <w:t>Statuts / RCCM</w:t>
      </w:r>
    </w:p>
    <w:p>
      <w:pPr>
        <w:pStyle w:val="ListBullet2"/>
      </w:pPr>
      <w:r>
        <w:rPr>
          <w:sz w:val="21"/>
        </w:rPr>
        <w:t>Chèque / effet</w:t>
      </w:r>
    </w:p>
    <w:p>
      <w:pPr>
        <w:pStyle w:val="ListBullet2"/>
      </w:pPr>
      <w:r>
        <w:rPr>
          <w:sz w:val="21"/>
        </w:rPr>
        <w:t>Autre</w:t>
      </w:r>
    </w:p>
    <w:p>
      <w:pPr>
        <w:pStyle w:val="Heading3"/>
      </w:pPr>
      <w:r>
        <w:t>A.12 Types d'acte (Atelier d'actes)</w:t>
      </w:r>
    </w:p>
    <w:p>
      <w:pPr>
        <w:pStyle w:val="ListBullet2"/>
      </w:pPr>
      <w:r>
        <w:rPr>
          <w:sz w:val="21"/>
        </w:rPr>
        <w:t>Assignation</w:t>
      </w:r>
    </w:p>
    <w:p>
      <w:pPr>
        <w:pStyle w:val="ListBullet2"/>
      </w:pPr>
      <w:r>
        <w:rPr>
          <w:sz w:val="21"/>
        </w:rPr>
        <w:t>Requête</w:t>
      </w:r>
    </w:p>
    <w:p>
      <w:pPr>
        <w:pStyle w:val="ListBullet2"/>
      </w:pPr>
      <w:r>
        <w:rPr>
          <w:sz w:val="21"/>
        </w:rPr>
        <w:t>Conclusions</w:t>
      </w:r>
    </w:p>
    <w:p>
      <w:pPr>
        <w:pStyle w:val="ListBullet2"/>
      </w:pPr>
      <w:r>
        <w:rPr>
          <w:sz w:val="21"/>
        </w:rPr>
        <w:t>Mémoire</w:t>
      </w:r>
    </w:p>
    <w:p>
      <w:pPr>
        <w:pStyle w:val="ListBullet2"/>
      </w:pPr>
      <w:r>
        <w:rPr>
          <w:sz w:val="21"/>
        </w:rPr>
        <w:t>Plainte (simple / avec constitution de partie civile)</w:t>
      </w:r>
    </w:p>
    <w:p>
      <w:pPr>
        <w:pStyle w:val="ListBullet2"/>
      </w:pPr>
      <w:r>
        <w:rPr>
          <w:sz w:val="21"/>
        </w:rPr>
        <w:t>Citation directe</w:t>
      </w:r>
    </w:p>
    <w:p>
      <w:pPr>
        <w:pStyle w:val="ListBullet2"/>
      </w:pPr>
      <w:r>
        <w:rPr>
          <w:sz w:val="21"/>
        </w:rPr>
        <w:t>Sommation / commandement</w:t>
      </w:r>
    </w:p>
    <w:p>
      <w:pPr>
        <w:pStyle w:val="ListBullet2"/>
      </w:pPr>
      <w:r>
        <w:rPr>
          <w:sz w:val="21"/>
        </w:rPr>
        <w:t>Constitution d'avocat</w:t>
      </w:r>
    </w:p>
    <w:p>
      <w:pPr>
        <w:pStyle w:val="ListBullet2"/>
      </w:pPr>
      <w:r>
        <w:rPr>
          <w:sz w:val="21"/>
        </w:rPr>
        <w:t>Acte d'appel / opposition / pourvoi</w:t>
      </w:r>
    </w:p>
    <w:p>
      <w:pPr>
        <w:pStyle w:val="ListBullet2"/>
      </w:pPr>
      <w:r>
        <w:rPr>
          <w:sz w:val="21"/>
        </w:rPr>
        <w:t>Note en délibéré</w:t>
      </w:r>
    </w:p>
    <w:p>
      <w:pPr>
        <w:pStyle w:val="ListBullet2"/>
      </w:pPr>
      <w:r>
        <w:rPr>
          <w:sz w:val="21"/>
        </w:rPr>
        <w:t>PV d'assemblée générale</w:t>
      </w:r>
    </w:p>
    <w:p>
      <w:pPr>
        <w:pStyle w:val="ListBullet2"/>
      </w:pPr>
      <w:r>
        <w:rPr>
          <w:sz w:val="21"/>
        </w:rPr>
        <w:t>Statuts de société</w:t>
      </w:r>
    </w:p>
    <w:p>
      <w:pPr>
        <w:pStyle w:val="ListBullet2"/>
      </w:pPr>
      <w:r>
        <w:rPr>
          <w:sz w:val="21"/>
        </w:rPr>
        <w:t>Pacte d'associés</w:t>
      </w:r>
    </w:p>
    <w:p>
      <w:pPr>
        <w:pStyle w:val="ListBullet2"/>
      </w:pPr>
      <w:r>
        <w:rPr>
          <w:sz w:val="21"/>
        </w:rPr>
        <w:t>Cahier des charges</w:t>
      </w:r>
    </w:p>
    <w:p>
      <w:pPr>
        <w:pStyle w:val="ListBullet2"/>
      </w:pPr>
      <w:r>
        <w:rPr>
          <w:sz w:val="21"/>
        </w:rPr>
        <w:t>Contrat</w:t>
      </w:r>
    </w:p>
    <w:p>
      <w:pPr>
        <w:pStyle w:val="ListBullet2"/>
      </w:pPr>
      <w:r>
        <w:rPr>
          <w:sz w:val="21"/>
        </w:rPr>
        <w:t>Bail</w:t>
      </w:r>
    </w:p>
    <w:p>
      <w:pPr>
        <w:pStyle w:val="ListBullet2"/>
      </w:pPr>
      <w:r>
        <w:rPr>
          <w:sz w:val="21"/>
        </w:rPr>
        <w:t>Convention / protocole d'accord</w:t>
      </w:r>
    </w:p>
    <w:p>
      <w:pPr>
        <w:pStyle w:val="ListBullet2"/>
      </w:pPr>
      <w:r>
        <w:rPr>
          <w:sz w:val="21"/>
        </w:rPr>
        <w:t>Transaction</w:t>
      </w:r>
    </w:p>
    <w:p>
      <w:pPr>
        <w:pStyle w:val="ListBullet2"/>
      </w:pPr>
      <w:r>
        <w:rPr>
          <w:sz w:val="21"/>
        </w:rPr>
        <w:t>Avis juridique / consultation</w:t>
      </w:r>
    </w:p>
    <w:p>
      <w:pPr>
        <w:pStyle w:val="ListBullet2"/>
      </w:pPr>
      <w:r>
        <w:rPr>
          <w:sz w:val="21"/>
        </w:rPr>
        <w:t>Rapport de due diligence</w:t>
      </w:r>
    </w:p>
    <w:p>
      <w:pPr>
        <w:pStyle w:val="ListBullet2"/>
      </w:pPr>
      <w:r>
        <w:rPr>
          <w:sz w:val="21"/>
        </w:rPr>
        <w:t>Lettre</w:t>
      </w:r>
    </w:p>
    <w:p>
      <w:pPr>
        <w:pStyle w:val="ListBullet2"/>
      </w:pPr>
      <w:r>
        <w:rPr>
          <w:sz w:val="21"/>
        </w:rPr>
        <w:t>Mise en demeure</w:t>
      </w:r>
    </w:p>
    <w:p>
      <w:pPr>
        <w:pStyle w:val="ListBullet2"/>
      </w:pPr>
      <w:r>
        <w:rPr>
          <w:sz w:val="21"/>
        </w:rPr>
        <w:t>Projet d'acte d'huissier</w:t>
      </w:r>
    </w:p>
    <w:p>
      <w:pPr>
        <w:pStyle w:val="ListBullet2"/>
      </w:pPr>
      <w:r>
        <w:rPr>
          <w:sz w:val="21"/>
        </w:rPr>
        <w:t>Rapport</w:t>
      </w:r>
    </w:p>
    <w:p>
      <w:pPr>
        <w:pStyle w:val="ListBullet2"/>
      </w:pPr>
      <w:r>
        <w:rPr>
          <w:sz w:val="21"/>
        </w:rPr>
        <w:t>Autre</w:t>
      </w:r>
    </w:p>
    <w:p>
      <w:pPr>
        <w:pStyle w:val="Heading3"/>
      </w:pPr>
      <w:r>
        <w:t>A.13 Qualités de rétrocession et taux</w:t>
      </w:r>
    </w:p>
    <w:p>
      <w:pPr>
        <w:pStyle w:val="ListBullet2"/>
      </w:pPr>
      <w:r>
        <w:rPr>
          <w:sz w:val="21"/>
        </w:rPr>
        <w:t>Associé — 30 %</w:t>
      </w:r>
    </w:p>
    <w:p>
      <w:pPr>
        <w:pStyle w:val="ListBullet2"/>
      </w:pPr>
      <w:r>
        <w:rPr>
          <w:sz w:val="21"/>
        </w:rPr>
        <w:t>Collaborateur avocat / stagiaire / Of Counsel — 25 %</w:t>
      </w:r>
    </w:p>
    <w:p>
      <w:pPr>
        <w:pStyle w:val="ListBullet2"/>
      </w:pPr>
      <w:r>
        <w:rPr>
          <w:sz w:val="21"/>
        </w:rPr>
        <w:t>Collaborateur non-avocat — 10 %</w:t>
      </w:r>
    </w:p>
    <w:p>
      <w:pPr>
        <w:pStyle w:val="Heading3"/>
      </w:pPr>
      <w:r>
        <w:t>A.14 Modes de facturation</w:t>
      </w:r>
    </w:p>
    <w:p>
      <w:pPr>
        <w:pStyle w:val="ListBullet2"/>
      </w:pPr>
      <w:r>
        <w:rPr>
          <w:sz w:val="21"/>
        </w:rPr>
        <w:t>Provision</w:t>
      </w:r>
    </w:p>
    <w:p>
      <w:pPr>
        <w:pStyle w:val="ListBullet2"/>
      </w:pPr>
      <w:r>
        <w:rPr>
          <w:sz w:val="21"/>
        </w:rPr>
        <w:t>Temps passé</w:t>
      </w:r>
    </w:p>
    <w:p>
      <w:pPr>
        <w:pStyle w:val="ListBullet2"/>
      </w:pPr>
      <w:r>
        <w:rPr>
          <w:sz w:val="21"/>
        </w:rPr>
        <w:t>Forfait</w:t>
      </w:r>
    </w:p>
    <w:p>
      <w:pPr>
        <w:pStyle w:val="ListBullet2"/>
      </w:pPr>
      <w:r>
        <w:rPr>
          <w:sz w:val="21"/>
        </w:rPr>
        <w:t>Success fee</w:t>
      </w:r>
    </w:p>
    <w:p>
      <w:pPr>
        <w:pStyle w:val="ListBullet2"/>
      </w:pPr>
      <w:r>
        <w:rPr>
          <w:sz w:val="21"/>
        </w:rPr>
        <w:t>Abonnement</w:t>
      </w:r>
    </w:p>
    <w:p>
      <w:pPr>
        <w:pStyle w:val="ListBullet2"/>
      </w:pPr>
      <w:r>
        <w:rPr>
          <w:sz w:val="21"/>
        </w:rPr>
        <w:t>Consultation</w:t>
      </w:r>
    </w:p>
    <w:p>
      <w:pPr>
        <w:pStyle w:val="Heading3"/>
      </w:pPr>
      <w:r>
        <w:t>A.15 Moyens de paiement / d'encaissement</w:t>
      </w:r>
    </w:p>
    <w:p>
      <w:pPr>
        <w:pStyle w:val="ListBullet2"/>
      </w:pPr>
      <w:r>
        <w:rPr>
          <w:sz w:val="21"/>
        </w:rPr>
        <w:t>Espèces</w:t>
      </w:r>
    </w:p>
    <w:p>
      <w:pPr>
        <w:pStyle w:val="ListBullet2"/>
      </w:pPr>
      <w:r>
        <w:rPr>
          <w:sz w:val="21"/>
        </w:rPr>
        <w:t>Orange Money</w:t>
      </w:r>
    </w:p>
    <w:p>
      <w:pPr>
        <w:pStyle w:val="ListBullet2"/>
      </w:pPr>
      <w:r>
        <w:rPr>
          <w:sz w:val="21"/>
        </w:rPr>
        <w:t>Moov Money</w:t>
      </w:r>
    </w:p>
    <w:p>
      <w:pPr>
        <w:pStyle w:val="ListBullet2"/>
      </w:pPr>
      <w:r>
        <w:rPr>
          <w:sz w:val="21"/>
        </w:rPr>
        <w:t>Wave</w:t>
      </w:r>
    </w:p>
    <w:p>
      <w:pPr>
        <w:pStyle w:val="ListBullet2"/>
      </w:pPr>
      <w:r>
        <w:rPr>
          <w:sz w:val="21"/>
        </w:rPr>
        <w:t>Sama Money</w:t>
      </w:r>
    </w:p>
    <w:p>
      <w:pPr>
        <w:pStyle w:val="ListBullet2"/>
      </w:pPr>
      <w:r>
        <w:rPr>
          <w:sz w:val="21"/>
        </w:rPr>
        <w:t>Western Union</w:t>
      </w:r>
    </w:p>
    <w:p>
      <w:pPr>
        <w:pStyle w:val="ListBullet2"/>
      </w:pPr>
      <w:r>
        <w:rPr>
          <w:sz w:val="21"/>
        </w:rPr>
        <w:t>Virement</w:t>
      </w:r>
    </w:p>
    <w:p>
      <w:pPr>
        <w:pStyle w:val="ListBullet2"/>
      </w:pPr>
      <w:r>
        <w:rPr>
          <w:sz w:val="21"/>
        </w:rPr>
        <w:t>Chèque</w:t>
      </w:r>
    </w:p>
    <w:p>
      <w:pPr>
        <w:pStyle w:val="Heading3"/>
      </w:pPr>
      <w:r>
        <w:t>A.16 Comptes du cabinet (exemples)</w:t>
      </w:r>
    </w:p>
    <w:p>
      <w:pPr>
        <w:pStyle w:val="ListBullet2"/>
      </w:pPr>
      <w:r>
        <w:rPr>
          <w:sz w:val="21"/>
        </w:rPr>
        <w:t>CARPA (BDM sa)</w:t>
      </w:r>
    </w:p>
    <w:p>
      <w:pPr>
        <w:pStyle w:val="ListBullet2"/>
      </w:pPr>
      <w:r>
        <w:rPr>
          <w:sz w:val="21"/>
        </w:rPr>
        <w:t>Compte fonctionnement</w:t>
      </w:r>
    </w:p>
    <w:p>
      <w:pPr>
        <w:pStyle w:val="ListBullet2"/>
      </w:pPr>
      <w:r>
        <w:rPr>
          <w:sz w:val="21"/>
        </w:rPr>
        <w:t>Orange Money</w:t>
      </w:r>
    </w:p>
    <w:p>
      <w:pPr>
        <w:pStyle w:val="ListBullet2"/>
      </w:pPr>
      <w:r>
        <w:rPr>
          <w:sz w:val="21"/>
        </w:rPr>
        <w:t>Wave</w:t>
      </w:r>
    </w:p>
    <w:p>
      <w:pPr>
        <w:pStyle w:val="ListBullet2"/>
      </w:pPr>
      <w:r>
        <w:rPr>
          <w:sz w:val="21"/>
        </w:rPr>
        <w:t>Espèces (caisse)</w:t>
      </w:r>
    </w:p>
    <w:p>
      <w:pPr>
        <w:pStyle w:val="Heading3"/>
      </w:pPr>
      <w:r>
        <w:t>A.17 Échéances administratives récurrentes — Mali (exemples pré-remplis)</w:t>
      </w:r>
    </w:p>
    <w:p>
      <w:r>
        <w:rPr>
          <w:b w:val="0"/>
          <w:i/>
          <w:color w:val="6B7280"/>
          <w:sz w:val="19"/>
        </w:rPr>
        <w:t>Périodes à revalider à chaque loi de finances ; JURIA rappelle l'échéance, elle ne calcule pas l'impôt ni la cotisation.</w:t>
      </w:r>
    </w:p>
    <w:p>
      <w:pPr>
        <w:pStyle w:val="ListBullet2"/>
      </w:pPr>
      <w:r>
        <w:rPr>
          <w:sz w:val="21"/>
        </w:rPr>
        <w:t>TVA (18 %) — déclaration et paiement mensuels, le 15 du mois suivant</w:t>
      </w:r>
    </w:p>
    <w:p>
      <w:pPr>
        <w:pStyle w:val="ListBullet2"/>
      </w:pPr>
      <w:r>
        <w:rPr>
          <w:sz w:val="21"/>
        </w:rPr>
        <w:t>Cotisations sociales INPS — mensuelles (≥10 salariés) ou trimestrielles</w:t>
      </w:r>
    </w:p>
    <w:p>
      <w:pPr>
        <w:pStyle w:val="ListBullet2"/>
      </w:pPr>
      <w:r>
        <w:rPr>
          <w:sz w:val="21"/>
        </w:rPr>
        <w:t>Impôt sur les traitements et salaires (ITS) — mensuel, le 15</w:t>
      </w:r>
    </w:p>
    <w:p>
      <w:pPr>
        <w:pStyle w:val="ListBullet2"/>
      </w:pPr>
      <w:r>
        <w:rPr>
          <w:sz w:val="21"/>
        </w:rPr>
        <w:t>Acomptes d'impôt sur les sociétés (IS) — trimestriels : 31/03, 31/07, 30/11</w:t>
      </w:r>
    </w:p>
    <w:p>
      <w:pPr>
        <w:pStyle w:val="ListBullet2"/>
      </w:pPr>
      <w:r>
        <w:rPr>
          <w:sz w:val="21"/>
        </w:rPr>
        <w:t>Patente / contribution des patentes — annuelle, avant le 1er mai</w:t>
      </w:r>
    </w:p>
    <w:p>
      <w:pPr>
        <w:pStyle w:val="ListBullet2"/>
      </w:pPr>
      <w:r>
        <w:rPr>
          <w:sz w:val="21"/>
        </w:rPr>
        <w:t>Cotisation à l'Ordre des avocats — annuelle</w:t>
      </w:r>
    </w:p>
    <w:p>
      <w:pPr>
        <w:pStyle w:val="ListBullet2"/>
      </w:pPr>
      <w:r>
        <w:rPr>
          <w:sz w:val="21"/>
        </w:rPr>
        <w:t>Assurance responsabilité civile professionnelle — annuelle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30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