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80" w:before="240" w:line="360" w:lineRule="auto"/>
        <w:jc w:val="both"/>
        <w:rPr>
          <w:rFonts w:ascii="Open Sans" w:cs="Open Sans" w:eastAsia="Open Sans" w:hAnsi="Open Sans"/>
        </w:rPr>
      </w:pPr>
      <w:bookmarkStart w:colFirst="0" w:colLast="0" w:name="_j66p9ss65t7e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Programme Cohorte IA : Du Fondamental à l'Industrialisation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jc w:val="both"/>
        <w:rPr>
          <w:rFonts w:ascii="Open Sans" w:cs="Open Sans" w:eastAsia="Open Sans" w:hAnsi="Open Sans"/>
          <w:b w:val="1"/>
          <w:bCs w:val="1"/>
          <w:color w:val="5f6368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5f6368"/>
          <w:sz w:val="22"/>
          <w:szCs w:val="22"/>
          <w:rtl w:val="0"/>
        </w:rPr>
        <w:t xml:space="preserve">Document d'accueil et Synoptique Pédagogique à destination des Étudiants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00" w:line="360" w:lineRule="auto"/>
        <w:jc w:val="both"/>
        <w:rPr>
          <w:rFonts w:ascii="Open Sans" w:cs="Open Sans" w:eastAsia="Open Sans" w:hAnsi="Open Sans"/>
          <w:b w:val="1"/>
          <w:bCs w:val="1"/>
          <w:color w:val="5f6368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5f6368"/>
          <w:sz w:val="22"/>
          <w:szCs w:val="22"/>
          <w:rtl w:val="0"/>
        </w:rPr>
        <w:t xml:space="preserve">Partenariat stratégique 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5f6368"/>
          <w:sz w:val="22"/>
          <w:szCs w:val="22"/>
          <w:rtl w:val="0"/>
        </w:rPr>
        <w:t xml:space="preserve">Orange Digital Center (ODC) &amp; Ingedata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60" w:lineRule="auto"/>
        <w:ind w:left="720" w:hanging="360"/>
        <w:jc w:val="both"/>
        <w:rPr>
          <w:rFonts w:ascii="Open Sans" w:cs="Open Sans" w:eastAsia="Open Sans" w:hAnsi="Open Sans"/>
          <w:color w:val="1a73e8"/>
          <w:sz w:val="32"/>
          <w:szCs w:val="3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1a73e8"/>
          <w:sz w:val="32"/>
          <w:szCs w:val="32"/>
          <w:rtl w:val="0"/>
        </w:rPr>
        <w:t xml:space="preserve">Contexte, Vision et Objectifs de l'Initiative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Issue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de l'Idéathon Orange Ainga Data du 4 juillet 2026, la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 Cohorte IA 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constitue une initiative majeure visant à former la nouvelle génération d'experts en Intelligence Artificielle à Madagascar. Né du partenariat d'excellence entre l'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Orange Digital Center (ODC)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et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Ingedata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, ce parcours intensif est conçu pour combler le fossé entre la théorie académique et les exigences opérationnelles du monde industriel.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Aujourd'hui, près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87% des projets d'IA en entreprise ne dépassent jamais le stade de Proof of Concept (PoC)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. Cet échec récurrent s'explique par un manque de vision globale : absence d'alignement métier, incapacité à déployer et maintenir les modèles (MLOps), et sous-estimation des enjeux d'éthique et de gouvernance. La Cohorte IA a été spécialement conçue pour résoudre cette problématique en vous apportant une double compétence technique et stratégique.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Les 3 Objectifs Majeurs de la Formation 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Excellence Technique End-to-End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Maîtriser l'ensemble du cycle de vie de la donnée, de la collecte brute jusqu'à l'industrialisation MLOps et l'IA générative (RAG, Agents).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Acculturation Business &amp; Stratégique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Comprendre les enjeux d'entreprise, la modélisation du ROI, le FinOps Cloud, ainsi que les cadres éthiques et réglementaires (RGPD, EU AI Act, ISO 42001).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Professionnalisation &amp; Employabilité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Développer un portfolio concret à travers des projets réels (notamment sur des cas d'usage comme la prédiction du churn client) pour intégrer directement les meilleures équipes Data Science.</w:t>
      </w:r>
    </w:p>
    <w:p w:rsidR="00000000" w:rsidDel="00000000" w:rsidP="00000000" w:rsidRDefault="00000000" w:rsidRPr="00000000" w14:paraId="0000000B">
      <w:pPr>
        <w:pStyle w:val="Heading3"/>
        <w:spacing w:before="0" w:line="360" w:lineRule="auto"/>
        <w:rPr/>
      </w:pPr>
      <w:bookmarkStart w:colFirst="0" w:colLast="0" w:name="_vtllxn7bu1zu" w:id="1"/>
      <w:bookmarkEnd w:id="1"/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Code de conduite de la Cohorte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En rejoignant cette formation, chaque apprenant s'engage à respecter les valeurs fondamentales suivantes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Intégrité et Respect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Adopter un comportement professionnel, respectueux de l'égalité, de la neutralité et des droits humains.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Esprit de promotion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Favoriser l'entraide, la bienveillance, la collaboration active et le partage des connaissances entre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Éthique et Responsabilité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Agir avec rigueur, respecter la propriété intellectuelle et se conformer strictement aux normes de sécurité et de gouvernance de la donnée (notamment le RGPD et l'ISO 27001).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Engagement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Participer activement au programme et signaler toute situation ou risque contraire à ces principes.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60" w:lineRule="auto"/>
        <w:ind w:left="720" w:hanging="360"/>
        <w:jc w:val="both"/>
        <w:rPr>
          <w:rFonts w:ascii="Open Sans" w:cs="Open Sans" w:eastAsia="Open Sans" w:hAnsi="Open Sans"/>
          <w:color w:val="1a73e8"/>
          <w:sz w:val="32"/>
          <w:szCs w:val="3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1a73e8"/>
          <w:sz w:val="32"/>
          <w:szCs w:val="32"/>
          <w:rtl w:val="0"/>
        </w:rPr>
        <w:t xml:space="preserve">Pédagogie Active et Organisation Hebdomadaire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Le programme repose sur une approche immersive basée sur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70% de pratique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, un esprit d'entraide au sein de la promotion, et l'encadrement continu par des mentors experts Data Scientists et MLOps Engineers en activité.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Rythme type d'une semaine de formation :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175"/>
        <w:gridCol w:w="4005"/>
        <w:gridCol w:w="3180"/>
        <w:tblGridChange w:id="0">
          <w:tblGrid>
            <w:gridCol w:w="2175"/>
            <w:gridCol w:w="4005"/>
            <w:gridCol w:w="31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Période</w:t>
            </w:r>
          </w:p>
        </w:tc>
        <w:tc>
          <w:tcPr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Activité Pédagogique</w:t>
            </w:r>
          </w:p>
        </w:tc>
        <w:tc>
          <w:tcPr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Format &amp; Modalités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rtl w:val="0"/>
              </w:rPr>
              <w:t xml:space="preserve">Lundi à Jeudi (9h - 12h)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Concepts théoriques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Cours magistraux interactifs &amp; Masterclass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Lundi à Jeudi 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rtl w:val="0"/>
              </w:rPr>
              <w:t xml:space="preserve">13h30 - 17h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)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Labs pratiques intensifs (Hands-on, Cod</w:t>
            </w: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ing</w:t>
            </w: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, Debug, Architecture)</w:t>
            </w: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Notebooks Jupyter, VS Code &amp;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rtl w:val="0"/>
              </w:rPr>
              <w:t xml:space="preserve">Vendredi Matin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Keynotes + Quiz individuel (45 min) + Review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Cours magistraux interactifs &amp; Masterclass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Vendredi Après-midi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Masterclass d'experts</w:t>
            </w: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, mini-hackathon,</w:t>
            </w: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 débriefin</w:t>
            </w: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g, etc..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Atelier collectif &amp; Mentoring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360" w:lineRule="auto"/>
        <w:jc w:val="both"/>
        <w:rPr>
          <w:rFonts w:ascii="Open Sans" w:cs="Open Sans" w:eastAsia="Open Sans" w:hAnsi="Open Sans"/>
          <w:color w:val="1a73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360" w:lineRule="auto"/>
        <w:jc w:val="both"/>
        <w:rPr>
          <w:rFonts w:ascii="Open Sans" w:cs="Open Sans" w:eastAsia="Open Sans" w:hAnsi="Open Sans"/>
          <w:color w:val="1a73e8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360" w:lineRule="auto"/>
        <w:ind w:left="720" w:hanging="360"/>
        <w:jc w:val="both"/>
        <w:rPr>
          <w:rFonts w:ascii="Open Sans" w:cs="Open Sans" w:eastAsia="Open Sans" w:hAnsi="Open Sans"/>
          <w:color w:val="1a73e8"/>
          <w:sz w:val="32"/>
          <w:szCs w:val="3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1a73e8"/>
          <w:sz w:val="32"/>
          <w:szCs w:val="32"/>
          <w:rtl w:val="0"/>
        </w:rPr>
        <w:t xml:space="preserve">Programme Détaillé des 9 Modules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1 : Fondations Data, Engineering &amp; BI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Maîtriser l'environnement de développement Linux/Python, l'extraction de données web et la modélisation de tableaux de bord BI décisionnels.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Environnement WSL2, Git/GitHub, architecture Web (HTTP, DOM), algèbre relationnelle SQL et concepts fondamentaux de Business Intelligence (KPIs, Dataviz).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Labs Pratiques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Configuration d'environnement, requêtage SQL, web scraping avec BeautifulSoup, nettoyage de données avec Pandas, et création d'un Dashboard interactif (PowerBI / Tableau / Metabase).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2 : Machine Learning Supervisé &amp; Métriques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Concevoir, entraîner et évaluer des modèles prédictifs solides tout en luttant efficacement contre le surapprentissage.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Régressions linéaire et logistique, arbres de décision, dilemme Biais-Variance, régularisation (Ridge/Lasso), matrice de confusion, et arbitrage entre Accuracy, Précision, Recall, F1-Score et AUC-ROC.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Labs Pratiques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Prédiction de prix (immobilier), détection de fraude / churn client avec Scikit-Learn, diagnostic d'overfitting et gestion du déséquilibre de classe via ajustement de seuils de décision.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3 : ML Avancé, Deep Learning &amp; Explicabilité (XAI)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Exploiter la puissance des méthodes ensemblistes, s'initier aux réseaux de neurones profonds et ouvrir la « boîte noire » algorithmique.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Bagging (Random Forest) vs Boosting (XGBoost, LightGBM), optimisation d'hyperparamètres avec Optuna, explicabilité avec SHAP &amp; LIME, et fondamentaux du Deep Learning (Perceptrons, CNNs pour la Computer Vision).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Labs Pratiques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Pipeline d'optimisation d'un modèle XGBoost, génération de rapports d'explicabilité SHAP pour les décideurs métiers, et classification d'images PyTorch sur Google Colab.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4 : MLOps, Automatisation &amp; Architecture Low-Code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Industrialiser les modèles scientifiques sous forme de services logiciels robustes, conteneurisés et connectés aux flux de l'entreprise.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Architecture REST API, conteneurisation Docker (images, conteneurs, isolation), intégration continue CI/CD, et orchestration événementielle Low-Code avec n8n.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Labs Pratiques :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 Développement d'une API FastAPI embarquant un modèle prédictif, conteneurisation Dockerfile, et création d'un workflow n8n connecté (Formulaire Web → API Docker → Base SQL → Alerte Slack).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5 : IA Générative Moderne &amp; Systèmes RAG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Développer des applications avancées basées sur les grands modèles de langage (LLM) et des bases de connaissances d'entreprise.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Architecture des LLMs (GPT, Claude, Mistral), Prompt Engineering avancé, architecture RAG (Retrieval-Augmented Generation), bases de données vectorielles, et agents IA autonomes.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Labs Pratiques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Construction d'un pipeline RAG complet sur des documents internes et développement d'agents autonomes avec LangChain et LlamaIndex.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6 : Business, Économie &amp; FinOps de l'IA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Traduire l'excellence technique en valeur économique mesurable et maîtriser les coûts Cloud/Infrastructures.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Modélisation de Business Case, calcul de ROI (ex: coût d'un geste commercial vs coût d'acquisition client), FinOps Cloud (coûts GPU/CPU/API), et arbitrage Make vs Buy.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Labs Pratiques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Modélisation financière d'un projet Data à partir d'un dashboard décisionnel et optimisation du Total Cost of Ownership (TCO).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7 : Éthique, Gouvernance et Sécurité de la Data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Déployer une IA responsable, équitable, sécurisée et conforme aux réglementations internationales.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Détection et atténuation des biais algorithmiques, réglementation RGPD, cadre EU AI Act, normes de sécurité ISO 27001 &amp; ISO 42001, et confidentialité des données de santé/financières.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8 : Prise de Parole, Data Storytelling &amp; Vulgarisation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Convaincre les parties prenantes non-techniques et valoriser les résultats complexes d'un projet Data.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Théorie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Principes de Data Storytelling, vulgarisation de métriques complexes (Recall, SHAP) pour la direction, et techniques de pitch professionnel.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02124"/>
          <w:sz w:val="26"/>
          <w:szCs w:val="26"/>
          <w:rtl w:val="0"/>
        </w:rPr>
        <w:t xml:space="preserve">Module 9 : Projet Capstone &amp; Grand Oral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Objectifs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Réaliser en équipe un produit Data complet de A à Z simulant une commande réelle d'entreprise.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Travail de Groupe (sur 8 semaines)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Cadrage du problème métier, ingénierie de données, modélisation ML/DL, industrialisation API/Docker, interface utilisateur/workflow n8n, et documentation.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Livrable Final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Dépôt GitHub professionnel, application fonctionnelle en production et rapport d'architecture.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60" w:lineRule="auto"/>
        <w:ind w:left="720" w:hanging="360"/>
        <w:jc w:val="both"/>
        <w:rPr>
          <w:rFonts w:ascii="Open Sans" w:cs="Open Sans" w:eastAsia="Open Sans" w:hAnsi="Open Sans"/>
          <w:color w:val="1a73e8"/>
          <w:sz w:val="32"/>
          <w:szCs w:val="3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1a73e8"/>
          <w:sz w:val="32"/>
          <w:szCs w:val="32"/>
          <w:rtl w:val="0"/>
        </w:rPr>
        <w:t xml:space="preserve">Modalités d'Évaluation et Validation de la Certification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La validation du parcours repose sur une évaluation continue combinant théorie, pratique individuelle et travail d'équipe.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2340"/>
        <w:gridCol w:w="3276"/>
        <w:gridCol w:w="1404"/>
        <w:tblGridChange w:id="0">
          <w:tblGrid>
            <w:gridCol w:w="2340"/>
            <w:gridCol w:w="2340"/>
            <w:gridCol w:w="3276"/>
            <w:gridCol w:w="1404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Modalité d'Évaluation</w:t>
            </w:r>
          </w:p>
        </w:tc>
        <w:tc>
          <w:tcPr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Format &amp; Fréquence</w:t>
            </w:r>
          </w:p>
        </w:tc>
        <w:tc>
          <w:tcPr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Objectif Évalué</w:t>
            </w:r>
          </w:p>
        </w:tc>
        <w:tc>
          <w:tcPr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Pondération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rtl w:val="0"/>
              </w:rPr>
              <w:t xml:space="preserve">Quiz de Fin de Module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QCM hebdomadaire (45 min, le vendredi)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Validation des concepts théoriques et de la rigueur scientifique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Hands-on Labs &amp; Restitutions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Notebooks individuels &amp; Code sur GitHub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Maîtrise du code, qualité d'implémentation et pipelines de données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rtl w:val="0"/>
              </w:rPr>
              <w:t xml:space="preserve">Projet Capstone Fil Rouge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Projet de groupe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Conception complète d'un produit Data industrialisé et déployé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2124"/>
                <w:shd w:fill="auto" w:val="clear"/>
                <w:rtl w:val="0"/>
              </w:rPr>
              <w:t xml:space="preserve">Soutenance Finale (Grand Oral)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Présentation orale devant le Jury professionnel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Défense technique, posture professionnelle et valorisation business</w:t>
            </w:r>
          </w:p>
        </w:tc>
        <w:tc>
          <w:tcPr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jc w:val="both"/>
              <w:rPr>
                <w:rFonts w:ascii="Open Sans" w:cs="Open Sans" w:eastAsia="Open Sans" w:hAnsi="Open Sans"/>
                <w:color w:val="202124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02124"/>
                <w:shd w:fill="auto" w:val="clear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60" w:lineRule="auto"/>
        <w:jc w:val="both"/>
        <w:rPr>
          <w:rFonts w:ascii="Open Sans" w:cs="Open Sans" w:eastAsia="Open Sans" w:hAnsi="Open Sans"/>
          <w:color w:val="1a73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line="360" w:lineRule="auto"/>
        <w:jc w:val="both"/>
        <w:rPr>
          <w:rFonts w:ascii="Open Sans" w:cs="Open Sans" w:eastAsia="Open Sans" w:hAnsi="Open Sans"/>
        </w:rPr>
      </w:pPr>
      <w:bookmarkStart w:colFirst="0" w:colLast="0" w:name="_wo8lt6icuqfy" w:id="2"/>
      <w:bookmarkEnd w:id="2"/>
      <w:r w:rsidDel="00000000" w:rsidR="00000000" w:rsidRPr="00000000">
        <w:rPr>
          <w:rFonts w:ascii="Open Sans" w:cs="Open Sans" w:eastAsia="Open Sans" w:hAnsi="Open Sans"/>
          <w:rtl w:val="0"/>
        </w:rPr>
        <w:t xml:space="preserve">Grille d'évaluation : Labs pratiques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Pour exceller dans les "Hands-on Labs" (30%), vos soumissions sont évaluées sur les critères suivants 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Reproductibilité : Le code s'exécute-t-il sans erreur sur un environnement vierge 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Code Propre : Respect des standards PEP8, conventions de nommage claires et fonctions modulaires.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Documentation : Vos notebooks Jupyter sont-ils commentés ? Existe-t-il une explication claire du choix des paramètres 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Contrôle de version : Commits réguliers et explicites sur votre dépôt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60" w:lineRule="auto"/>
        <w:jc w:val="both"/>
        <w:rPr>
          <w:rFonts w:ascii="Open Sans" w:cs="Open Sans" w:eastAsia="Open Sans" w:hAnsi="Open Sans"/>
          <w:color w:val="1a73e8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60" w:lineRule="auto"/>
        <w:ind w:left="720" w:hanging="360"/>
        <w:jc w:val="both"/>
        <w:rPr>
          <w:rFonts w:ascii="Open Sans" w:cs="Open Sans" w:eastAsia="Open Sans" w:hAnsi="Open Sans"/>
          <w:color w:val="1a73e8"/>
          <w:sz w:val="32"/>
          <w:szCs w:val="3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1a73e8"/>
          <w:sz w:val="32"/>
          <w:szCs w:val="32"/>
          <w:rtl w:val="0"/>
        </w:rPr>
        <w:t xml:space="preserve">Équipe d'Encadrement et Gouvernance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L'accompagnement de la Cohorte IA est assuré par un Comité de Pilotage conjoint et une équipe de mentors aguerris  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Comité de Pilotage (CoPil)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4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jc w:val="both"/>
        <w:rPr/>
      </w:pPr>
      <w:bookmarkStart w:colFirst="0" w:colLast="0" w:name="_ncet6doyljrq" w:id="3"/>
      <w:bookmarkEnd w:id="3"/>
      <w:r w:rsidDel="00000000" w:rsidR="00000000" w:rsidRPr="00000000">
        <w:rPr>
          <w:rtl w:val="0"/>
        </w:rPr>
        <w:t xml:space="preserve">Ingedata : </w:t>
      </w:r>
    </w:p>
    <w:p w:rsidR="00000000" w:rsidDel="00000000" w:rsidP="00000000" w:rsidRDefault="00000000" w:rsidRPr="00000000" w14:paraId="0000006F">
      <w:pPr>
        <w:numPr>
          <w:ilvl w:val="2"/>
          <w:numId w:val="15"/>
        </w:numPr>
        <w:spacing w:line="360" w:lineRule="auto"/>
        <w:ind w:left="2160" w:hanging="360"/>
        <w:jc w:val="both"/>
        <w:rPr>
          <w:rFonts w:ascii="Open Sans" w:cs="Open Sans" w:eastAsia="Open Sans" w:hAnsi="Open Sans"/>
          <w:color w:val="202124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Mathieu DEBERSEE, COO</w:t>
      </w:r>
    </w:p>
    <w:p w:rsidR="00000000" w:rsidDel="00000000" w:rsidP="00000000" w:rsidRDefault="00000000" w:rsidRPr="00000000" w14:paraId="00000070">
      <w:pPr>
        <w:numPr>
          <w:ilvl w:val="2"/>
          <w:numId w:val="15"/>
        </w:numPr>
        <w:spacing w:after="0" w:afterAutospacing="0" w:line="360" w:lineRule="auto"/>
        <w:ind w:left="2160" w:hanging="360"/>
        <w:jc w:val="both"/>
        <w:rPr>
          <w:rFonts w:ascii="Open Sans" w:cs="Open Sans" w:eastAsia="Open Sans" w:hAnsi="Open Sans"/>
          <w:color w:val="202124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Henitsoa RASOANANDRIANINA, Head of AI</w:t>
      </w:r>
    </w:p>
    <w:p w:rsidR="00000000" w:rsidDel="00000000" w:rsidP="00000000" w:rsidRDefault="00000000" w:rsidRPr="00000000" w14:paraId="00000071">
      <w:pPr>
        <w:pStyle w:val="Heading4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jc w:val="both"/>
      </w:pPr>
      <w:bookmarkStart w:colFirst="0" w:colLast="0" w:name="_lvndbyy3etas" w:id="4"/>
      <w:bookmarkEnd w:id="4"/>
      <w:r w:rsidDel="00000000" w:rsidR="00000000" w:rsidRPr="00000000">
        <w:rPr>
          <w:rtl w:val="0"/>
        </w:rPr>
        <w:t xml:space="preserve">ODC : </w:t>
      </w:r>
    </w:p>
    <w:p w:rsidR="00000000" w:rsidDel="00000000" w:rsidP="00000000" w:rsidRDefault="00000000" w:rsidRPr="00000000" w14:paraId="00000072">
      <w:pPr>
        <w:numPr>
          <w:ilvl w:val="2"/>
          <w:numId w:val="15"/>
        </w:numPr>
        <w:spacing w:line="360" w:lineRule="auto"/>
        <w:ind w:left="2160" w:hanging="360"/>
        <w:jc w:val="both"/>
        <w:rPr>
          <w:rFonts w:ascii="Open Sans" w:cs="Open Sans" w:eastAsia="Open Sans" w:hAnsi="Open Sans"/>
          <w:color w:val="202124"/>
          <w:u w:val="none"/>
        </w:rPr>
      </w:pPr>
      <w:r w:rsidDel="00000000" w:rsidR="00000000" w:rsidRPr="00000000">
        <w:rPr>
          <w:rtl w:val="0"/>
        </w:rPr>
        <w:t xml:space="preserve">ANDRIANALISON Homentsoa Lalaina</w:t>
      </w:r>
    </w:p>
    <w:p w:rsidR="00000000" w:rsidDel="00000000" w:rsidP="00000000" w:rsidRDefault="00000000" w:rsidRPr="00000000" w14:paraId="00000073">
      <w:pPr>
        <w:numPr>
          <w:ilvl w:val="2"/>
          <w:numId w:val="15"/>
        </w:numPr>
        <w:shd w:fill="f8fafd" w:val="clear"/>
        <w:spacing w:line="360" w:lineRule="auto"/>
        <w:ind w:left="2160" w:hanging="360"/>
        <w:jc w:val="both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RADOMANANA Arinoely</w:t>
      </w:r>
    </w:p>
    <w:p w:rsidR="00000000" w:rsidDel="00000000" w:rsidP="00000000" w:rsidRDefault="00000000" w:rsidRPr="00000000" w14:paraId="00000074">
      <w:pPr>
        <w:shd w:fill="f8fafd" w:val="clear"/>
        <w:spacing w:line="360" w:lineRule="auto"/>
        <w:ind w:left="1440" w:firstLine="0"/>
        <w:jc w:val="both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Mentors &amp; Intervenants Techniques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Data Scientists, MLOps Engineers et Experts métier d'Ingedata, de l'ODC, de l'ENI et de partenaires industriels (Median Technologies, University of Osaka, etc.)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Infrastructures &amp; Cadre de travail :</w:t>
      </w:r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Locaux modernes équipés mis à disposition par Orange Digital Center.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firstLine="0"/>
        <w:jc w:val="both"/>
        <w:rPr>
          <w:rFonts w:ascii="Open Sans" w:cs="Open Sans" w:eastAsia="Open Sans" w:hAnsi="Open Sans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rFonts w:ascii="Open Sans" w:cs="Open Sans" w:eastAsia="Open Sans" w:hAnsi="Open Sans"/>
          <w:b w:val="1"/>
          <w:bCs w:val="1"/>
          <w:color w:val="2021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02124"/>
          <w:rtl w:val="0"/>
        </w:rPr>
        <w:t xml:space="preserve">Contact d’urgence : 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rFonts w:ascii="Open Sans" w:cs="Open Sans" w:eastAsia="Open Sans" w:hAnsi="Open Sans"/>
          <w:color w:val="202124"/>
          <w:u w:val="none"/>
        </w:rPr>
      </w:pP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henitsoa.rasoanandrianina@ingedata.ai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rFonts w:ascii="Open Sans" w:cs="Open Sans" w:eastAsia="Open Sans" w:hAnsi="Open Sans"/>
          <w:color w:val="202124"/>
          <w:u w:val="none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noely.radomanana@orange.com</w:t>
        </w:r>
      </w:hyperlink>
      <w:r w:rsidDel="00000000" w:rsidR="00000000" w:rsidRPr="00000000">
        <w:rPr>
          <w:rFonts w:ascii="Open Sans" w:cs="Open Sans" w:eastAsia="Open Sans" w:hAnsi="Open Sans"/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540" w:line="360" w:lineRule="auto"/>
        <w:ind w:left="180" w:right="180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  <w:color w:val="2021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540" w:line="360" w:lineRule="auto"/>
        <w:ind w:left="180" w:right="180" w:firstLine="0"/>
        <w:jc w:val="both"/>
        <w:rPr>
          <w:rFonts w:ascii="Open Sans" w:cs="Open Sans" w:eastAsia="Open Sans" w:hAnsi="Open Sans"/>
          <w:i w:val="1"/>
          <w:iCs w:val="1"/>
          <w:color w:val="202124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202124"/>
          <w:sz w:val="22"/>
          <w:szCs w:val="22"/>
          <w:rtl w:val="0"/>
        </w:rPr>
        <w:t xml:space="preserve">Mot de l'Équipe Pédagogique :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202124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60" w:lineRule="auto"/>
        <w:ind w:left="180" w:right="180" w:firstLine="0"/>
        <w:jc w:val="both"/>
        <w:rPr>
          <w:rFonts w:ascii="Open Sans" w:cs="Open Sans" w:eastAsia="Open Sans" w:hAnsi="Open Sans"/>
          <w:i w:val="1"/>
          <w:iCs w:val="1"/>
          <w:color w:val="202124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202124"/>
          <w:sz w:val="22"/>
          <w:szCs w:val="22"/>
          <w:rtl w:val="0"/>
        </w:rPr>
        <w:t xml:space="preserve">Bienvenue dans cette aventure intensive !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60" w:lineRule="auto"/>
        <w:ind w:left="180" w:right="180" w:firstLine="0"/>
        <w:jc w:val="both"/>
        <w:rPr>
          <w:rFonts w:ascii="Open Sans" w:cs="Open Sans" w:eastAsia="Open Sans" w:hAnsi="Open Sans"/>
          <w:i w:val="1"/>
          <w:iCs w:val="1"/>
          <w:color w:val="202124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202124"/>
          <w:sz w:val="22"/>
          <w:szCs w:val="22"/>
          <w:rtl w:val="0"/>
        </w:rPr>
        <w:t xml:space="preserve">Durant cette formation, vous serez confrontés à des défis techniques et méthodologiques exigeants. L'esprit de promotion, la curiosité et la rigueur seront vos meilleurs atouts pour transformer cette opportunité en un véritable tremplin professionnel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spacing w:after="180" w:before="360" w:line="360" w:lineRule="auto"/>
        <w:rPr>
          <w:rFonts w:ascii="Open Sans" w:cs="Open Sans" w:eastAsia="Open Sans" w:hAnsi="Open Sans"/>
          <w:color w:val="1a73e8"/>
          <w:sz w:val="32"/>
          <w:szCs w:val="32"/>
        </w:rPr>
      </w:pPr>
      <w:bookmarkStart w:colFirst="0" w:colLast="0" w:name="_1zz5pa6f5si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tbujnc1hlt5t" w:id="6"/>
      <w:bookmarkEnd w:id="6"/>
      <w:r w:rsidDel="00000000" w:rsidR="00000000" w:rsidRPr="00000000">
        <w:rPr>
          <w:rFonts w:ascii="Open Sans" w:cs="Open Sans" w:eastAsia="Open Sans" w:hAnsi="Open Sans"/>
          <w:color w:val="1a73e8"/>
          <w:sz w:val="32"/>
          <w:szCs w:val="32"/>
          <w:rtl w:val="0"/>
        </w:rPr>
        <w:t xml:space="preserve">Glossaire des notions de bases à connaître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Agent IA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Entité autonome utilisant un LLM pour planifier et utiliser des outils via des patterns comme ReAct (Reason + Act).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API (Application Programming Interface)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Interface permettant à deux systèmes informatiques de communiquer.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Biais Algorithmique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Erreur systématique du modèle due à des données d'entraînement non représentatives.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CI/CD (Continuous Integration / Continuous Deployment)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Pratiques d'automatisation des tests et du déploiement logiciel.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Conteneurisation (Docker)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Encapsulation isolée d'une application pour garantir sa portabilité.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Embeddings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Représentation vectorielle de données pour capturer des relations sémantiques.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Fine-Tuning (SFT, RLHF, DPO)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Adaptation d'un modèle pré-entraîné (en suivant des instructions ou des préférences humaines) à une tâche spécifique.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FinOps (Financial Operations)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Pratiques de gestion financière du Cloud pour optimiser les coûts.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Hyperparamètres (Température, Top-P)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Paramètres ajustant la créativité et le hasard d'un LLM lors de la génération.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KV Cache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Mémoire VRAM stockant les états intermédiaires d'attention pour accélérer l'inférence d'un modèle.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LLM (Large Language Model)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Modèle capable de comprendre et générer du langage humain complexe.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MLOps (Machine Learning Operations)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Opérations visant à industrialiser le cycle de vie des modèles ML (déploiement, versioning, monitoring).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PoC (Proof of Concept)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Projet pilote validant la faisabilité technique ou économique d'une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RAG (Retrieval-Augmented Generation)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Système combinant la recherche documentaire externe avec la génération de texte par un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TCO (Total Cost of Ownership)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Coût global de possession d'un système (investissement + exploitation).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Tokenizer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Outil de découpage du texte en unités numériques (tokens) traitables par le modèle.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Vector Store (Base de données vectorielle)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Base de données optimisée pour la recherche par similarité sémantique (ex: ChromaDB).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XAI (Explainable AI)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Méthodes (SHAP, LIME) pour rendre les modèles d'IA interprétables par l'humain.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nitsoa.rasoanandrianina@ingedata.ai" TargetMode="External"/><Relationship Id="rId7" Type="http://schemas.openxmlformats.org/officeDocument/2006/relationships/hyperlink" Target="mailto:noely.radomanana@orang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