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Arial" w:cs="Arial" w:eastAsia="Arial" w:hAnsi="Arial"/>
          <w:b/>
          <w:bCs/>
          <w:color w:val="1F4E79"/>
          <w:sz w:val="32"/>
          <w:szCs w:val="32"/>
        </w:rPr>
        <w:t xml:space="preserve">La Filosofia Agile nella Gestione dei Progetti di Costruzione</w:t>
      </w:r>
    </w:p>
    <w:p>
      <w:pPr>
        <w:spacing w:after="160" w:before="60"/>
      </w:pPr>
    </w:p>
    <w:p>
      <w:pPr>
        <w:pStyle w:val="Heading2"/>
        <w:spacing w:after="120" w:before="280"/>
      </w:pPr>
      <w:r>
        <w:rPr>
          <w:rFonts w:ascii="Arial" w:cs="Arial" w:eastAsia="Arial" w:hAnsi="Arial"/>
          <w:b/>
          <w:bCs/>
          <w:color w:val="2E75B6"/>
          <w:sz w:val="26"/>
          <w:szCs w:val="26"/>
        </w:rPr>
        <w:t xml:space="preserve">1.1 Dal Waterfall all'Agile: una Trasformazione di Paradigma</w:t>
      </w:r>
    </w:p>
    <w:p>
      <w:pPr>
        <w:spacing w:after="110" w:before="110" w:line="288" w:lineRule="auto"/>
        <w:jc w:val="both"/>
      </w:pPr>
      <w:r>
        <w:rPr>
          <w:rFonts w:ascii="Arial" w:cs="Arial" w:eastAsia="Arial" w:hAnsi="Arial"/>
          <w:color w:val="111111"/>
          <w:sz w:val="24"/>
          <w:szCs w:val="24"/>
        </w:rPr>
        <w:t xml:space="preserve">La gestione dei progetti ha storicamente adottato un modello sequenziale e deterministico, noto come approccio waterfall o piano-driven, in cui ogni fase — dalla definizione dei requisiti alla progettazione, all'esecuzione, al collaudo — viene portata a completamento prima che inizi la successiva. In questo paradigma, il cliente definisce le proprie aspettative in modo esaustivo all'avvio del progetto, e il team di progetto si impegna a realizzare il piano nel modo più fedele possibile, garantendo stabilità, struttura e risorse prevedibili.</w:t>
      </w:r>
    </w:p>
    <w:p>
      <w:pPr>
        <w:spacing w:after="110" w:before="110" w:line="288" w:lineRule="auto"/>
        <w:jc w:val="both"/>
      </w:pPr>
      <w:r>
        <w:rPr>
          <w:rFonts w:ascii="Arial" w:cs="Arial" w:eastAsia="Arial" w:hAnsi="Arial"/>
          <w:color w:val="111111"/>
          <w:sz w:val="24"/>
          <w:szCs w:val="24"/>
        </w:rPr>
        <w:t xml:space="preserve">Questo modello ha dimostrato la propria validità in contesti caratterizzati da requisiti stabili e ben definiti. Tuttavia, le condizioni del mercato contemporaneo — accelerazione tecnologica, cicli di sviluppo sempre più brevi, crescente incertezza dei requisiti — ne hanno evidenziato i limiti strutturali. Come osservano Thesing et al. (2021), </w:t>
      </w:r>
      <w:r>
        <w:rPr>
          <w:rFonts w:ascii="Arial" w:cs="Arial" w:eastAsia="Arial" w:hAnsi="Arial"/>
          <w:color w:val="111111"/>
          <w:sz w:val="24"/>
          <w:szCs w:val="24"/>
        </w:rPr>
        <w:t xml:space="preserve">"condizioni di mercato in rapida evoluzione, nuove tecnologie e cicli time-to-market brevi influenzano profondamente le modalità di gestione dei progetti"</w:t>
      </w:r>
      <w:r>
        <w:rPr>
          <w:rFonts w:ascii="Arial" w:cs="Arial" w:eastAsia="Arial" w:hAnsi="Arial"/>
          <w:color w:val="111111"/>
          <w:sz w:val="24"/>
          <w:szCs w:val="24"/>
        </w:rPr>
        <w:t xml:space="preserve">: in questi contesti, la rigidità del waterfall si trasforma da punto di forza a principale fonte di rischio.</w:t>
      </w:r>
      <w:r>
        <w:rPr>
          <w:rFonts w:ascii="Arial" w:cs="Arial" w:eastAsia="Arial" w:hAnsi="Arial"/>
          <w:b/>
          <w:bCs/>
          <w:color w:val="2E75B6"/>
          <w:sz w:val="21"/>
          <w:szCs w:val="21"/>
        </w:rPr>
        <w:t xml:space="preserve"> [Thesing et al., 2021]</w:t>
      </w:r>
    </w:p>
    <w:p>
      <w:pPr>
        <w:spacing w:after="110" w:before="110" w:line="288" w:lineRule="auto"/>
        <w:jc w:val="both"/>
      </w:pPr>
      <w:r>
        <w:rPr>
          <w:rFonts w:ascii="Arial" w:cs="Arial" w:eastAsia="Arial" w:hAnsi="Arial"/>
          <w:color w:val="111111"/>
          <w:sz w:val="24"/>
          <w:szCs w:val="24"/>
        </w:rPr>
        <w:t xml:space="preserve">L'approccio agile nasce come risposta a questa sfida. Originatosi nell'industria del software — dove le specifiche cambiano frequentemente e il valore del prodotto emerge solo attraverso l'uso — l'agile si fonda su un ciclo iterativo e incrementale: pianificare un poco, consegnare, apprendere dal feedback, ripianificare. Il suo presupposto fondante è che i requisiti non possano essere completamente definiti all'inizio di un progetto complesso, e che il modo più efficace per avvicinarsi al risultato desiderato sia attraverso iterazioni frequenti validate dal cliente.</w:t>
      </w:r>
    </w:p>
    <w:p>
      <w:pPr>
        <w:spacing w:after="110" w:before="110" w:line="288" w:lineRule="auto"/>
        <w:jc w:val="both"/>
      </w:pPr>
      <w:r>
        <w:rPr>
          <w:rFonts w:ascii="Arial" w:cs="Arial" w:eastAsia="Arial" w:hAnsi="Arial"/>
          <w:color w:val="111111"/>
          <w:sz w:val="24"/>
          <w:szCs w:val="24"/>
        </w:rPr>
        <w:t xml:space="preserve">Formalmente, il metodo agile è descritto dall'</w:t>
      </w:r>
      <w:r>
        <w:rPr>
          <w:rFonts w:ascii="Arial" w:cs="Arial" w:eastAsia="Arial" w:hAnsi="Arial"/>
          <w:b/>
          <w:bCs/>
          <w:sz w:val="24"/>
          <w:szCs w:val="24"/>
        </w:rPr>
        <w:t xml:space="preserve">Agile Manifesto</w:t>
      </w:r>
      <w:r>
        <w:rPr>
          <w:rFonts w:ascii="Arial" w:cs="Arial" w:eastAsia="Arial" w:hAnsi="Arial"/>
          <w:color w:val="111111"/>
          <w:sz w:val="24"/>
          <w:szCs w:val="24"/>
        </w:rPr>
        <w:t xml:space="preserve"> (Fowler et al., 2001) attraverso quattro valori fondanti: individui e interazioni sopra processi e strumenti; software funzionante sopra documentazione esaustiva; collaborazione con il cliente sopra negoziazione contrattuale; rispondere al cambiamento sopra seguire un piano. Sebbene nato nel dominio software, questi principi hanno trovato progressiva applicazione in settori molto diversi — dall'industria manifatturiera alla sanità, dalla finanza all'ingegneria civile — confermando la portata trasversale della filosofia che li anima.</w:t>
      </w:r>
      <w:r>
        <w:rPr>
          <w:rFonts w:ascii="Arial" w:cs="Arial" w:eastAsia="Arial" w:hAnsi="Arial"/>
          <w:b/>
          <w:bCs/>
          <w:color w:val="2E75B6"/>
          <w:sz w:val="21"/>
          <w:szCs w:val="21"/>
        </w:rPr>
        <w:t xml:space="preserve"> [Mohamed &amp; Moselhi, 2019]</w:t>
      </w:r>
    </w:p>
    <w:p>
      <w:pPr>
        <w:spacing w:after="60" w:before="60"/>
      </w:pPr>
    </w:p>
    <w:p>
      <w:pPr>
        <w:pStyle w:val="Heading2"/>
        <w:spacing w:after="120" w:before="280"/>
      </w:pPr>
      <w:r>
        <w:rPr>
          <w:rFonts w:ascii="Arial" w:cs="Arial" w:eastAsia="Arial" w:hAnsi="Arial"/>
          <w:b/>
          <w:bCs/>
          <w:color w:val="2E75B6"/>
          <w:sz w:val="26"/>
          <w:szCs w:val="26"/>
        </w:rPr>
        <w:t xml:space="preserve">1.2 Principi Fondamentali dell'Approccio Agile</w:t>
      </w:r>
    </w:p>
    <w:p>
      <w:pPr>
        <w:spacing w:after="110" w:before="110" w:line="288" w:lineRule="auto"/>
        <w:jc w:val="both"/>
      </w:pPr>
      <w:r>
        <w:rPr>
          <w:rFonts w:ascii="Arial" w:cs="Arial" w:eastAsia="Arial" w:hAnsi="Arial"/>
          <w:color w:val="111111"/>
          <w:sz w:val="24"/>
          <w:szCs w:val="24"/>
        </w:rPr>
        <w:t xml:space="preserve">Il cuore dell'approccio agile può essere ricondotto a tre principi operativi che ne definiscono le caratteristiche distintive rispetto alla gestione tradizionale:</w:t>
      </w:r>
    </w:p>
    <w:p>
      <w:pPr>
        <w:spacing w:after="20" w:before="40"/>
      </w:pPr>
    </w:p>
    <w:p>
      <w:pPr>
        <w:pStyle w:val="ListParagraph"/>
        <w:numPr>
          <w:ilvl w:val="0"/>
          <w:numId w:val="2"/>
        </w:numPr>
        <w:spacing w:after="60" w:before="60" w:line="276" w:lineRule="auto"/>
      </w:pPr>
      <w:r>
        <w:rPr>
          <w:rFonts w:ascii="Arial" w:cs="Arial" w:eastAsia="Arial" w:hAnsi="Arial"/>
          <w:b/>
          <w:bCs/>
          <w:sz w:val="24"/>
          <w:szCs w:val="24"/>
        </w:rPr>
        <w:t xml:space="preserve">Collaborazione continua con il cliente: </w:t>
      </w:r>
      <w:r>
        <w:rPr>
          <w:rFonts w:ascii="Arial" w:cs="Arial" w:eastAsia="Arial" w:hAnsi="Arial"/>
          <w:color w:val="111111"/>
          <w:sz w:val="24"/>
          <w:szCs w:val="24"/>
        </w:rPr>
        <w:t xml:space="preserve">i committenti partecipano attivamente ai cicli di revisione, orientando le priorità di sviluppo sulla base di quanto prodotto in ogni iterazione. Questo elimina il rischio che problemi rilevanti vengano scoperti solo al collaudo finale, quando la correzione è costosa e spesso irreversibile.</w:t>
      </w:r>
      <w:r>
        <w:rPr>
          <w:rFonts w:ascii="Arial" w:cs="Arial" w:eastAsia="Arial" w:hAnsi="Arial"/>
          <w:b/>
          <w:bCs/>
          <w:color w:val="2E75B6"/>
          <w:sz w:val="21"/>
          <w:szCs w:val="21"/>
        </w:rPr>
        <w:t xml:space="preserve"> [Thesing et al., 2021]</w:t>
      </w:r>
    </w:p>
    <w:p>
      <w:pPr>
        <w:pStyle w:val="ListParagraph"/>
        <w:numPr>
          <w:ilvl w:val="0"/>
          <w:numId w:val="2"/>
        </w:numPr>
        <w:spacing w:after="60" w:before="60" w:line="276" w:lineRule="auto"/>
      </w:pPr>
      <w:r>
        <w:rPr>
          <w:rFonts w:ascii="Arial" w:cs="Arial" w:eastAsia="Arial" w:hAnsi="Arial"/>
          <w:b/>
          <w:bCs/>
          <w:sz w:val="24"/>
          <w:szCs w:val="24"/>
        </w:rPr>
        <w:t xml:space="preserve">Team autoorganizzati e trasversali: </w:t>
      </w:r>
      <w:r>
        <w:rPr>
          <w:rFonts w:ascii="Arial" w:cs="Arial" w:eastAsia="Arial" w:hAnsi="Arial"/>
          <w:color w:val="111111"/>
          <w:sz w:val="24"/>
          <w:szCs w:val="24"/>
        </w:rPr>
        <w:t xml:space="preserve">i gruppi di lavoro agile sono cross-funzionali, co-locati e dotati dell'autorità di prendere decisioni operative senza attendere approvazioni gerarchiche. Questa struttura accelera la comunicazione e riduce le interdipendenze disfunzionali tra reparti.</w:t>
      </w:r>
      <w:r>
        <w:rPr>
          <w:rFonts w:ascii="Arial" w:cs="Arial" w:eastAsia="Arial" w:hAnsi="Arial"/>
          <w:b/>
          <w:bCs/>
          <w:color w:val="2E75B6"/>
          <w:sz w:val="21"/>
          <w:szCs w:val="21"/>
        </w:rPr>
        <w:t xml:space="preserve"> [Mohamed &amp; Moselhi, 2019]</w:t>
      </w:r>
    </w:p>
    <w:p>
      <w:pPr>
        <w:pStyle w:val="ListParagraph"/>
        <w:numPr>
          <w:ilvl w:val="0"/>
          <w:numId w:val="2"/>
        </w:numPr>
        <w:spacing w:after="60" w:before="60" w:line="276" w:lineRule="auto"/>
      </w:pPr>
      <w:r>
        <w:rPr>
          <w:rFonts w:ascii="Arial" w:cs="Arial" w:eastAsia="Arial" w:hAnsi="Arial"/>
          <w:b/>
          <w:bCs/>
          <w:sz w:val="24"/>
          <w:szCs w:val="24"/>
        </w:rPr>
        <w:t xml:space="preserve">Cicli brevi di pianificazione, esecuzione e revisione (sprint): </w:t>
      </w:r>
      <w:r>
        <w:rPr>
          <w:rFonts w:ascii="Arial" w:cs="Arial" w:eastAsia="Arial" w:hAnsi="Arial"/>
          <w:color w:val="111111"/>
          <w:sz w:val="24"/>
          <w:szCs w:val="24"/>
        </w:rPr>
        <w:t xml:space="preserve">la pianificazione avviene su orizzonti brevi (tipicamente 2–4 settimane), al termine dei quali un deliverable tangibile viene revisionato con il cliente. Ogni iterazione produce apprendimento che informa la pianificazione successiva, creando un meccanismo di miglioramento continuo integrato nel processo stesso.</w:t>
      </w:r>
      <w:r>
        <w:rPr>
          <w:rFonts w:ascii="Arial" w:cs="Arial" w:eastAsia="Arial" w:hAnsi="Arial"/>
          <w:b/>
          <w:bCs/>
          <w:color w:val="2E75B6"/>
          <w:sz w:val="21"/>
          <w:szCs w:val="21"/>
        </w:rPr>
        <w:t xml:space="preserve"> [Thesing et al., 2021]</w:t>
      </w:r>
    </w:p>
    <w:p>
      <w:pPr>
        <w:spacing w:after="20" w:before="40"/>
      </w:pPr>
    </w:p>
    <w:p>
      <w:pPr>
        <w:spacing w:after="110" w:before="110" w:line="288" w:lineRule="auto"/>
        <w:jc w:val="both"/>
      </w:pPr>
      <w:r>
        <w:rPr>
          <w:rFonts w:ascii="Arial" w:cs="Arial" w:eastAsia="Arial" w:hAnsi="Arial"/>
          <w:color w:val="111111"/>
          <w:sz w:val="24"/>
          <w:szCs w:val="24"/>
        </w:rPr>
        <w:t xml:space="preserve">A questi principi si affiancano i framework operativi che li traducono in pratiche concrete. Il più diffuso è Scrum, che organizza il lavoro in sprint con meeting giornalieri (stand-up), revisioni e retrospettive al termine di ogni ciclo. Kanban è invece un approccio più flessibile, spesso usato come fase di transizione verso l'agile pieno: gestisce un flusso continuo di lavoro visualizzato su una tavola condivisa, senza la rigidità delle iterazioni a tempo fisso. Scrumban combina elementi di entrambi. Per progetti di grande scala che richiedono il coordinamento di più team agile, esistono framework di scaling come Scrum of Scrums o Enterprise Scrum.</w:t>
      </w:r>
    </w:p>
    <w:p>
      <w:pPr>
        <w:spacing w:after="60" w:before="60"/>
      </w:pPr>
    </w:p>
    <w:p>
      <w:pPr>
        <w:pStyle w:val="Heading2"/>
        <w:spacing w:after="120" w:before="280"/>
      </w:pPr>
      <w:r>
        <w:rPr>
          <w:rFonts w:ascii="Arial" w:cs="Arial" w:eastAsia="Arial" w:hAnsi="Arial"/>
          <w:b/>
          <w:bCs/>
          <w:color w:val="2E75B6"/>
          <w:sz w:val="26"/>
          <w:szCs w:val="26"/>
        </w:rPr>
        <w:t xml:space="preserve">1.3 Waterfall vs Agile: un Confronto Sistematico</w:t>
      </w:r>
    </w:p>
    <w:p>
      <w:pPr>
        <w:spacing w:after="110" w:before="110" w:line="288" w:lineRule="auto"/>
        <w:jc w:val="both"/>
      </w:pPr>
      <w:r>
        <w:rPr>
          <w:rFonts w:ascii="Arial" w:cs="Arial" w:eastAsia="Arial" w:hAnsi="Arial"/>
          <w:color w:val="111111"/>
          <w:sz w:val="24"/>
          <w:szCs w:val="24"/>
        </w:rPr>
        <w:t xml:space="preserve">La Tabella 1 sintetizza le principali dimensioni di differenziazione tra i due approcci, secondo le evidenze empiriche raccolte da Thesing et al. (2021) attraverso 15 interviste a project manager esperti operanti in diversi settori industriali tedeschi.</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Dimensione</w:t>
            </w:r>
          </w:p>
        </w:tc>
        <w:tc>
          <w:tcPr>
            <w:tcW w:type="dxa" w:w="34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Approccio Waterfall</w:t>
            </w:r>
          </w:p>
        </w:tc>
        <w:tc>
          <w:tcPr>
            <w:tcW w:type="dxa" w:w="34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Approccio Agile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sz w:val="19"/>
                <w:szCs w:val="19"/>
              </w:rPr>
              <w:t xml:space="preserve">Logica di pianificazione</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both"/>
            </w:pPr>
            <w:r>
              <w:rPr>
                <w:rFonts w:ascii="Arial" w:cs="Arial" w:eastAsia="Arial" w:hAnsi="Arial"/>
                <w:sz w:val="19"/>
                <w:szCs w:val="19"/>
              </w:rPr>
              <w:t xml:space="preserve">Olistica e anticipatoria: tutti i requisiti definiti upfront, piano fisso dall'avvio al collaudo</w:t>
            </w:r>
          </w:p>
        </w:tc>
        <w:tc>
          <w:tcPr>
            <w:tcW w:type="dxa" w:w="3413"/>
            <w:tcBorders>
              <w:top w:val="single" w:color="CCCCCC" w:sz="1"/>
              <w:left w:val="single" w:color="CCCCCC" w:sz="1"/>
              <w:bottom w:val="single" w:color="CCCCCC" w:sz="1"/>
              <w:right w:val="single" w:color="CCCCCC" w:sz="1"/>
            </w:tcBorders>
            <w:shd w:fill="F5FBF8" w:val="clear"/>
            <w:tcMar>
              <w:top w:type="dxa" w:w="60"/>
              <w:left w:type="dxa" w:w="120"/>
              <w:bottom w:type="dxa" w:w="60"/>
              <w:right w:type="dxa" w:w="80"/>
            </w:tcMar>
          </w:tcPr>
          <w:p>
            <w:pPr>
              <w:jc w:val="both"/>
            </w:pPr>
            <w:r>
              <w:rPr>
                <w:rFonts w:ascii="Arial" w:cs="Arial" w:eastAsia="Arial" w:hAnsi="Arial"/>
                <w:sz w:val="19"/>
                <w:szCs w:val="19"/>
              </w:rPr>
              <w:t xml:space="preserve">Incrementale e adattiva: pianificazione continua a orizzonte corto (2–4 settimane), piano aggiornato a ogni iterazione</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80"/>
            </w:tcMar>
          </w:tcPr>
          <w:p>
            <w:r>
              <w:rPr>
                <w:rFonts w:ascii="Arial" w:cs="Arial" w:eastAsia="Arial" w:hAnsi="Arial"/>
                <w:b/>
                <w:bCs/>
                <w:sz w:val="19"/>
                <w:szCs w:val="19"/>
              </w:rPr>
              <w:t xml:space="preserve">Scope del progetto</w:t>
            </w:r>
          </w:p>
        </w:tc>
        <w:tc>
          <w:tcPr>
            <w:tcW w:type="dxa" w:w="3413"/>
            <w:tcBorders>
              <w:top w:val="single" w:color="CCCCCC" w:sz="1"/>
              <w:left w:val="single" w:color="CCCCCC" w:sz="1"/>
              <w:bottom w:val="single" w:color="CCCCCC" w:sz="1"/>
              <w:right w:val="single" w:color="CCCCCC" w:sz="1"/>
            </w:tcBorders>
            <w:shd w:fill="F8FAFB" w:val="clear"/>
            <w:tcMar>
              <w:top w:type="dxa" w:w="60"/>
              <w:left w:type="dxa" w:w="120"/>
              <w:bottom w:type="dxa" w:w="60"/>
              <w:right w:type="dxa" w:w="80"/>
            </w:tcMar>
          </w:tcPr>
          <w:p>
            <w:pPr>
              <w:jc w:val="both"/>
            </w:pPr>
            <w:r>
              <w:rPr>
                <w:rFonts w:ascii="Arial" w:cs="Arial" w:eastAsia="Arial" w:hAnsi="Arial"/>
                <w:sz w:val="19"/>
                <w:szCs w:val="19"/>
              </w:rPr>
              <w:t xml:space="preserve">Fisso dall'inizio; i cambiamenti vengono gestiti come varianti formali con impatto su costi e tempi</w:t>
            </w:r>
          </w:p>
        </w:tc>
        <w:tc>
          <w:tcPr>
            <w:tcW w:type="dxa" w:w="3413"/>
            <w:tcBorders>
              <w:top w:val="single" w:color="CCCCCC" w:sz="1"/>
              <w:left w:val="single" w:color="CCCCCC" w:sz="1"/>
              <w:bottom w:val="single" w:color="CCCCCC" w:sz="1"/>
              <w:right w:val="single" w:color="CCCCCC" w:sz="1"/>
            </w:tcBorders>
            <w:shd w:fill="E8F4F0" w:val="clear"/>
            <w:tcMar>
              <w:top w:type="dxa" w:w="60"/>
              <w:left w:type="dxa" w:w="120"/>
              <w:bottom w:type="dxa" w:w="60"/>
              <w:right w:type="dxa" w:w="80"/>
            </w:tcMar>
          </w:tcPr>
          <w:p>
            <w:pPr>
              <w:jc w:val="both"/>
            </w:pPr>
            <w:r>
              <w:rPr>
                <w:rFonts w:ascii="Arial" w:cs="Arial" w:eastAsia="Arial" w:hAnsi="Arial"/>
                <w:sz w:val="19"/>
                <w:szCs w:val="19"/>
              </w:rPr>
              <w:t xml:space="preserve">Variabile e concretizzato iterazione per iterazione in base al feedback del cliente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sz w:val="19"/>
                <w:szCs w:val="19"/>
              </w:rPr>
              <w:t xml:space="preserve">Gestione degli errori</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both"/>
            </w:pPr>
            <w:r>
              <w:rPr>
                <w:rFonts w:ascii="Arial" w:cs="Arial" w:eastAsia="Arial" w:hAnsi="Arial"/>
                <w:sz w:val="19"/>
                <w:szCs w:val="19"/>
              </w:rPr>
              <w:t xml:space="preserve">La correzione di errori è costosa perché scoperta tardi; le fasi precedenti non vengono rivisitate</w:t>
            </w:r>
          </w:p>
        </w:tc>
        <w:tc>
          <w:tcPr>
            <w:tcW w:type="dxa" w:w="3413"/>
            <w:tcBorders>
              <w:top w:val="single" w:color="CCCCCC" w:sz="1"/>
              <w:left w:val="single" w:color="CCCCCC" w:sz="1"/>
              <w:bottom w:val="single" w:color="CCCCCC" w:sz="1"/>
              <w:right w:val="single" w:color="CCCCCC" w:sz="1"/>
            </w:tcBorders>
            <w:shd w:fill="F5FBF8" w:val="clear"/>
            <w:tcMar>
              <w:top w:type="dxa" w:w="60"/>
              <w:left w:type="dxa" w:w="120"/>
              <w:bottom w:type="dxa" w:w="60"/>
              <w:right w:type="dxa" w:w="80"/>
            </w:tcMar>
          </w:tcPr>
          <w:p>
            <w:pPr>
              <w:jc w:val="both"/>
            </w:pPr>
            <w:r>
              <w:rPr>
                <w:rFonts w:ascii="Arial" w:cs="Arial" w:eastAsia="Arial" w:hAnsi="Arial"/>
                <w:sz w:val="19"/>
                <w:szCs w:val="19"/>
              </w:rPr>
              <w:t xml:space="preserve">Errori rilevati rapidamente nei cicli brevi di sviluppo/revisione, con costi di correzione contenuti</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80"/>
            </w:tcMar>
          </w:tcPr>
          <w:p>
            <w:r>
              <w:rPr>
                <w:rFonts w:ascii="Arial" w:cs="Arial" w:eastAsia="Arial" w:hAnsi="Arial"/>
                <w:b/>
                <w:bCs/>
                <w:sz w:val="19"/>
                <w:szCs w:val="19"/>
              </w:rPr>
              <w:t xml:space="preserve">Struttura del team</w:t>
            </w:r>
          </w:p>
        </w:tc>
        <w:tc>
          <w:tcPr>
            <w:tcW w:type="dxa" w:w="3413"/>
            <w:tcBorders>
              <w:top w:val="single" w:color="CCCCCC" w:sz="1"/>
              <w:left w:val="single" w:color="CCCCCC" w:sz="1"/>
              <w:bottom w:val="single" w:color="CCCCCC" w:sz="1"/>
              <w:right w:val="single" w:color="CCCCCC" w:sz="1"/>
            </w:tcBorders>
            <w:shd w:fill="F8FAFB" w:val="clear"/>
            <w:tcMar>
              <w:top w:type="dxa" w:w="60"/>
              <w:left w:type="dxa" w:w="120"/>
              <w:bottom w:type="dxa" w:w="60"/>
              <w:right w:type="dxa" w:w="80"/>
            </w:tcMar>
          </w:tcPr>
          <w:p>
            <w:pPr>
              <w:jc w:val="both"/>
            </w:pPr>
            <w:r>
              <w:rPr>
                <w:rFonts w:ascii="Arial" w:cs="Arial" w:eastAsia="Arial" w:hAnsi="Arial"/>
                <w:sz w:val="19"/>
                <w:szCs w:val="19"/>
              </w:rPr>
              <w:t xml:space="preserve">Sequenziale e funzionale: ogni fase è eseguita da un team separato che consegna l'output al successivo</w:t>
            </w:r>
          </w:p>
        </w:tc>
        <w:tc>
          <w:tcPr>
            <w:tcW w:type="dxa" w:w="3413"/>
            <w:tcBorders>
              <w:top w:val="single" w:color="CCCCCC" w:sz="1"/>
              <w:left w:val="single" w:color="CCCCCC" w:sz="1"/>
              <w:bottom w:val="single" w:color="CCCCCC" w:sz="1"/>
              <w:right w:val="single" w:color="CCCCCC" w:sz="1"/>
            </w:tcBorders>
            <w:shd w:fill="E8F4F0" w:val="clear"/>
            <w:tcMar>
              <w:top w:type="dxa" w:w="60"/>
              <w:left w:type="dxa" w:w="120"/>
              <w:bottom w:type="dxa" w:w="60"/>
              <w:right w:type="dxa" w:w="80"/>
            </w:tcMar>
          </w:tcPr>
          <w:p>
            <w:pPr>
              <w:jc w:val="both"/>
            </w:pPr>
            <w:r>
              <w:rPr>
                <w:rFonts w:ascii="Arial" w:cs="Arial" w:eastAsia="Arial" w:hAnsi="Arial"/>
                <w:sz w:val="19"/>
                <w:szCs w:val="19"/>
              </w:rPr>
              <w:t xml:space="preserve">Trasversale e autoorganizzato: team cross-funzionali co-locati lavorano su deliverable incrementali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sz w:val="19"/>
                <w:szCs w:val="19"/>
              </w:rPr>
              <w:t xml:space="preserve">Coinvolgimento del cliente</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both"/>
            </w:pPr>
            <w:r>
              <w:rPr>
                <w:rFonts w:ascii="Arial" w:cs="Arial" w:eastAsia="Arial" w:hAnsi="Arial"/>
                <w:sz w:val="19"/>
                <w:szCs w:val="19"/>
              </w:rPr>
              <w:t xml:space="preserve">Limitato: il cliente interagisce principalmente in fase iniziale e finale</w:t>
            </w:r>
          </w:p>
        </w:tc>
        <w:tc>
          <w:tcPr>
            <w:tcW w:type="dxa" w:w="3413"/>
            <w:tcBorders>
              <w:top w:val="single" w:color="CCCCCC" w:sz="1"/>
              <w:left w:val="single" w:color="CCCCCC" w:sz="1"/>
              <w:bottom w:val="single" w:color="CCCCCC" w:sz="1"/>
              <w:right w:val="single" w:color="CCCCCC" w:sz="1"/>
            </w:tcBorders>
            <w:shd w:fill="F5FBF8" w:val="clear"/>
            <w:tcMar>
              <w:top w:type="dxa" w:w="60"/>
              <w:left w:type="dxa" w:w="120"/>
              <w:bottom w:type="dxa" w:w="60"/>
              <w:right w:type="dxa" w:w="80"/>
            </w:tcMar>
          </w:tcPr>
          <w:p>
            <w:pPr>
              <w:jc w:val="both"/>
            </w:pPr>
            <w:r>
              <w:rPr>
                <w:rFonts w:ascii="Arial" w:cs="Arial" w:eastAsia="Arial" w:hAnsi="Arial"/>
                <w:sz w:val="19"/>
                <w:szCs w:val="19"/>
              </w:rPr>
              <w:t xml:space="preserve">Continuo: il cliente partecipa ai cicli di revisione e orienta le priorità di sviluppo</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80"/>
            </w:tcMar>
          </w:tcPr>
          <w:p>
            <w:r>
              <w:rPr>
                <w:rFonts w:ascii="Arial" w:cs="Arial" w:eastAsia="Arial" w:hAnsi="Arial"/>
                <w:b/>
                <w:bCs/>
                <w:sz w:val="19"/>
                <w:szCs w:val="19"/>
              </w:rPr>
              <w:t xml:space="preserve">Documentazione</w:t>
            </w:r>
          </w:p>
        </w:tc>
        <w:tc>
          <w:tcPr>
            <w:tcW w:type="dxa" w:w="3413"/>
            <w:tcBorders>
              <w:top w:val="single" w:color="CCCCCC" w:sz="1"/>
              <w:left w:val="single" w:color="CCCCCC" w:sz="1"/>
              <w:bottom w:val="single" w:color="CCCCCC" w:sz="1"/>
              <w:right w:val="single" w:color="CCCCCC" w:sz="1"/>
            </w:tcBorders>
            <w:shd w:fill="F8FAFB" w:val="clear"/>
            <w:tcMar>
              <w:top w:type="dxa" w:w="60"/>
              <w:left w:type="dxa" w:w="120"/>
              <w:bottom w:type="dxa" w:w="60"/>
              <w:right w:type="dxa" w:w="80"/>
            </w:tcMar>
          </w:tcPr>
          <w:p>
            <w:pPr>
              <w:jc w:val="both"/>
            </w:pPr>
            <w:r>
              <w:rPr>
                <w:rFonts w:ascii="Arial" w:cs="Arial" w:eastAsia="Arial" w:hAnsi="Arial"/>
                <w:sz w:val="19"/>
                <w:szCs w:val="19"/>
              </w:rPr>
              <w:t xml:space="preserve">Alta e formalizzata; enfasi sul piano approvato e sui deliverable documentati</w:t>
            </w:r>
          </w:p>
        </w:tc>
        <w:tc>
          <w:tcPr>
            <w:tcW w:type="dxa" w:w="3413"/>
            <w:tcBorders>
              <w:top w:val="single" w:color="CCCCCC" w:sz="1"/>
              <w:left w:val="single" w:color="CCCCCC" w:sz="1"/>
              <w:bottom w:val="single" w:color="CCCCCC" w:sz="1"/>
              <w:right w:val="single" w:color="CCCCCC" w:sz="1"/>
            </w:tcBorders>
            <w:shd w:fill="E8F4F0" w:val="clear"/>
            <w:tcMar>
              <w:top w:type="dxa" w:w="60"/>
              <w:left w:type="dxa" w:w="120"/>
              <w:bottom w:type="dxa" w:w="60"/>
              <w:right w:type="dxa" w:w="80"/>
            </w:tcMar>
          </w:tcPr>
          <w:p>
            <w:pPr>
              <w:jc w:val="both"/>
            </w:pPr>
            <w:r>
              <w:rPr>
                <w:rFonts w:ascii="Arial" w:cs="Arial" w:eastAsia="Arial" w:hAnsi="Arial"/>
                <w:sz w:val="19"/>
                <w:szCs w:val="19"/>
              </w:rPr>
              <w:t xml:space="preserve">Essenziale e funzionale; la comunicazione diretta prevale sulla documentazione formale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sz w:val="19"/>
                <w:szCs w:val="19"/>
              </w:rPr>
              <w:t xml:space="preserve">Indicatore di successo</w:t>
            </w:r>
          </w:p>
        </w:tc>
        <w:tc>
          <w:tcPr>
            <w:tcW w:type="dxa" w:w="34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both"/>
            </w:pPr>
            <w:r>
              <w:rPr>
                <w:rFonts w:ascii="Arial" w:cs="Arial" w:eastAsia="Arial" w:hAnsi="Arial"/>
                <w:sz w:val="19"/>
                <w:szCs w:val="19"/>
              </w:rPr>
              <w:t xml:space="preserve">Conformità al piano: rispetto di scope, tempi e budget iniziali</w:t>
            </w:r>
          </w:p>
        </w:tc>
        <w:tc>
          <w:tcPr>
            <w:tcW w:type="dxa" w:w="3413"/>
            <w:tcBorders>
              <w:top w:val="single" w:color="CCCCCC" w:sz="1"/>
              <w:left w:val="single" w:color="CCCCCC" w:sz="1"/>
              <w:bottom w:val="single" w:color="CCCCCC" w:sz="1"/>
              <w:right w:val="single" w:color="CCCCCC" w:sz="1"/>
            </w:tcBorders>
            <w:shd w:fill="F5FBF8" w:val="clear"/>
            <w:tcMar>
              <w:top w:type="dxa" w:w="60"/>
              <w:left w:type="dxa" w:w="120"/>
              <w:bottom w:type="dxa" w:w="60"/>
              <w:right w:type="dxa" w:w="80"/>
            </w:tcMar>
          </w:tcPr>
          <w:p>
            <w:pPr>
              <w:jc w:val="both"/>
            </w:pPr>
            <w:r>
              <w:rPr>
                <w:rFonts w:ascii="Arial" w:cs="Arial" w:eastAsia="Arial" w:hAnsi="Arial"/>
                <w:sz w:val="19"/>
                <w:szCs w:val="19"/>
              </w:rPr>
              <w:t xml:space="preserve">Valore consegnato al cliente: soddisfazione e funzionalità erogate per iterazione</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80"/>
            </w:tcMar>
          </w:tcPr>
          <w:p>
            <w:r>
              <w:rPr>
                <w:rFonts w:ascii="Arial" w:cs="Arial" w:eastAsia="Arial" w:hAnsi="Arial"/>
                <w:b/>
                <w:bCs/>
                <w:sz w:val="19"/>
                <w:szCs w:val="19"/>
              </w:rPr>
              <w:t xml:space="preserve">Contesto ideale</w:t>
            </w:r>
          </w:p>
        </w:tc>
        <w:tc>
          <w:tcPr>
            <w:tcW w:type="dxa" w:w="3413"/>
            <w:tcBorders>
              <w:top w:val="single" w:color="CCCCCC" w:sz="1"/>
              <w:left w:val="single" w:color="CCCCCC" w:sz="1"/>
              <w:bottom w:val="single" w:color="CCCCCC" w:sz="1"/>
              <w:right w:val="single" w:color="CCCCCC" w:sz="1"/>
            </w:tcBorders>
            <w:shd w:fill="F8FAFB" w:val="clear"/>
            <w:tcMar>
              <w:top w:type="dxa" w:w="60"/>
              <w:left w:type="dxa" w:w="120"/>
              <w:bottom w:type="dxa" w:w="60"/>
              <w:right w:type="dxa" w:w="80"/>
            </w:tcMar>
          </w:tcPr>
          <w:p>
            <w:pPr>
              <w:jc w:val="both"/>
            </w:pPr>
            <w:r>
              <w:rPr>
                <w:rFonts w:ascii="Arial" w:cs="Arial" w:eastAsia="Arial" w:hAnsi="Arial"/>
                <w:sz w:val="19"/>
                <w:szCs w:val="19"/>
              </w:rPr>
              <w:t xml:space="preserve">Requisiti stabili, ben definiti, bassa innovazione, prodotto non scomponibile in incrementi</w:t>
            </w:r>
          </w:p>
        </w:tc>
        <w:tc>
          <w:tcPr>
            <w:tcW w:type="dxa" w:w="3413"/>
            <w:tcBorders>
              <w:top w:val="single" w:color="CCCCCC" w:sz="1"/>
              <w:left w:val="single" w:color="CCCCCC" w:sz="1"/>
              <w:bottom w:val="single" w:color="CCCCCC" w:sz="1"/>
              <w:right w:val="single" w:color="CCCCCC" w:sz="1"/>
            </w:tcBorders>
            <w:shd w:fill="E8F4F0" w:val="clear"/>
            <w:tcMar>
              <w:top w:type="dxa" w:w="60"/>
              <w:left w:type="dxa" w:w="120"/>
              <w:bottom w:type="dxa" w:w="60"/>
              <w:right w:type="dxa" w:w="80"/>
            </w:tcMar>
          </w:tcPr>
          <w:p>
            <w:pPr>
              <w:jc w:val="both"/>
            </w:pPr>
            <w:r>
              <w:rPr>
                <w:rFonts w:ascii="Arial" w:cs="Arial" w:eastAsia="Arial" w:hAnsi="Arial"/>
                <w:sz w:val="19"/>
                <w:szCs w:val="19"/>
              </w:rPr>
              <w:t xml:space="preserve">Requisiti incerti o in evoluzione, alta complessità tecnica, contesto che ammette iterazioni</w:t>
            </w:r>
          </w:p>
        </w:tc>
      </w:tr>
    </w:tbl>
    <w:p>
      <w:pPr>
        <w:spacing w:after="200" w:before="60"/>
        <w:jc w:val="center"/>
      </w:pPr>
      <w:r>
        <w:rPr>
          <w:rFonts w:ascii="Arial" w:cs="Arial" w:eastAsia="Arial" w:hAnsi="Arial"/>
          <w:i/>
          <w:iCs/>
          <w:color w:val="555555"/>
          <w:sz w:val="22"/>
          <w:szCs w:val="22"/>
        </w:rPr>
        <w:t xml:space="preserve">Tabella 1 — Confronto tra approccio waterfall e approccio agile nelle principali dimensioni di progetto. Elaborazione da Thesing et al. (2021) e Mohamed &amp; Moselhi (2019).</w:t>
      </w:r>
    </w:p>
    <w:p>
      <w:pPr>
        <w:spacing w:after="110" w:before="110" w:line="288" w:lineRule="auto"/>
        <w:jc w:val="both"/>
      </w:pPr>
      <w:r>
        <w:rPr>
          <w:rFonts w:ascii="Arial" w:cs="Arial" w:eastAsia="Arial" w:hAnsi="Arial"/>
          <w:color w:val="111111"/>
          <w:sz w:val="24"/>
          <w:szCs w:val="24"/>
        </w:rPr>
        <w:t xml:space="preserve">Un risultato rilevante emerso dalle interviste condotte da Thesing et al. (2021) riguarda il peso relativo delle diverse dimensioni nel guidare la scelta del modello procedurale: la dimensione più importante è lo scope del progetto, seguita dal contesto organizzativo e dalle caratteristiche del team. Fattori come il tempo e il budget sono significativamente meno determinanti. Questo dato è concettualmente importante: suggerisce che la scelta tra waterfall e agile è prima di tutto una questione di quanto il progetto sia in grado di tollerare l'incertezza e l'evoluzione dei requisiti, non di quanto sia grande o costoso.</w:t>
      </w:r>
    </w:p>
    <w:p>
      <w:pPr>
        <w:spacing w:after="60" w:before="60"/>
      </w:pPr>
    </w:p>
    <w:p>
      <w:pPr>
        <w:pStyle w:val="Heading2"/>
        <w:spacing w:after="120" w:before="280"/>
      </w:pPr>
      <w:r>
        <w:rPr>
          <w:rFonts w:ascii="Arial" w:cs="Arial" w:eastAsia="Arial" w:hAnsi="Arial"/>
          <w:b/>
          <w:bCs/>
          <w:color w:val="2E75B6"/>
          <w:sz w:val="26"/>
          <w:szCs w:val="26"/>
        </w:rPr>
        <w:t xml:space="preserve">1.4 L'Agile in Cantiere: Opportunità e Limiti del Trasferimento dal Software</w:t>
      </w:r>
    </w:p>
    <w:p>
      <w:pPr>
        <w:spacing w:after="110" w:before="110" w:line="288" w:lineRule="auto"/>
        <w:jc w:val="both"/>
      </w:pPr>
      <w:r>
        <w:rPr>
          <w:rFonts w:ascii="Arial" w:cs="Arial" w:eastAsia="Arial" w:hAnsi="Arial"/>
          <w:color w:val="111111"/>
          <w:sz w:val="24"/>
          <w:szCs w:val="24"/>
        </w:rPr>
        <w:t xml:space="preserve">La domanda che si pone naturalmente è: un paradigma nato nell'industria del software è applicabile alla gestione dei progetti di costruzione? La risposta, emersa dalla ricerca più recente, è articolata: non in forma diretta e integrale, ma con adattamenti mirati che estraggono i principi agile applicabili al contesto costruttivo.</w:t>
      </w:r>
    </w:p>
    <w:p>
      <w:pPr>
        <w:spacing w:after="110" w:before="110" w:line="288" w:lineRule="auto"/>
        <w:jc w:val="both"/>
      </w:pPr>
      <w:r>
        <w:rPr>
          <w:rFonts w:ascii="Arial" w:cs="Arial" w:eastAsia="Arial" w:hAnsi="Arial"/>
          <w:color w:val="111111"/>
          <w:sz w:val="24"/>
          <w:szCs w:val="24"/>
        </w:rPr>
        <w:t xml:space="preserve">I progetti di costruzione sono tradizionalmente gestiti secondo il modello waterfall: un grande piano upfront viene prodotto da un reparto e consegnato ai team esecutivi per l'implementazione. Come evidenziano Mohamed e Moselhi (2019), </w:t>
      </w:r>
      <w:r>
        <w:rPr>
          <w:rFonts w:ascii="Arial" w:cs="Arial" w:eastAsia="Arial" w:hAnsi="Arial"/>
          <w:color w:val="111111"/>
          <w:sz w:val="24"/>
          <w:szCs w:val="24"/>
        </w:rPr>
        <w:t xml:space="preserve">"questo equivale ad avere qualcuno che prende decisioni di cui qualcun altro si assumerà la responsabilità"</w:t>
      </w:r>
      <w:r>
        <w:rPr>
          <w:rFonts w:ascii="Arial" w:cs="Arial" w:eastAsia="Arial" w:hAnsi="Arial"/>
          <w:color w:val="111111"/>
          <w:sz w:val="24"/>
          <w:szCs w:val="24"/>
        </w:rPr>
        <w:t xml:space="preserve">, generando conflitti interni durante l'esecuzione. Le interferenze tipiche dei cantieri — ritardi nei materiali, cali di produttività, condizioni meteorologiche, modifiche progettuali in corso d'opera — non derivano necessariamente da specifiche incomplete, ma spesso dalla mancanza di comunicazione e coordinamento tra i membri del team.</w:t>
      </w:r>
      <w:r>
        <w:rPr>
          <w:rFonts w:ascii="Arial" w:cs="Arial" w:eastAsia="Arial" w:hAnsi="Arial"/>
          <w:b/>
          <w:bCs/>
          <w:color w:val="2E75B6"/>
          <w:sz w:val="21"/>
          <w:szCs w:val="21"/>
        </w:rPr>
        <w:t xml:space="preserve"> [Mohamed &amp; Moselhi, 2019]</w:t>
      </w:r>
    </w:p>
    <w:p>
      <w:pPr>
        <w:spacing w:after="110" w:before="110" w:line="288" w:lineRule="auto"/>
        <w:jc w:val="both"/>
      </w:pPr>
      <w:r>
        <w:rPr>
          <w:rFonts w:ascii="Arial" w:cs="Arial" w:eastAsia="Arial" w:hAnsi="Arial"/>
          <w:color w:val="111111"/>
          <w:sz w:val="24"/>
          <w:szCs w:val="24"/>
        </w:rPr>
        <w:t xml:space="preserve">Eppure i progetti di costruzione presentano caratteristiche che li differenziano strutturalmente dall'ambito software, e che pongono limiti precisi all'adozione integrale dell'agile. Thesing et al. (2021) identificano nel decision model tre criteri di esclusione che rendono sconsigliabile un approccio agile puro:</w:t>
      </w:r>
    </w:p>
    <w:p>
      <w:pPr>
        <w:spacing w:after="20" w:before="40"/>
      </w:pPr>
    </w:p>
    <w:p>
      <w:pPr>
        <w:pStyle w:val="ListParagraph"/>
        <w:numPr>
          <w:ilvl w:val="0"/>
          <w:numId w:val="2"/>
        </w:numPr>
        <w:spacing w:after="60" w:before="60" w:line="276" w:lineRule="auto"/>
      </w:pPr>
      <w:r>
        <w:rPr>
          <w:rFonts w:ascii="Arial" w:cs="Arial" w:eastAsia="Arial" w:hAnsi="Arial"/>
          <w:b/>
          <w:bCs/>
          <w:sz w:val="24"/>
          <w:szCs w:val="24"/>
        </w:rPr>
        <w:t xml:space="preserve">Non decomponibilità del risultato in incrementi: </w:t>
      </w:r>
      <w:r>
        <w:rPr>
          <w:rFonts w:ascii="Arial" w:cs="Arial" w:eastAsia="Arial" w:hAnsi="Arial"/>
          <w:color w:val="111111"/>
          <w:sz w:val="24"/>
          <w:szCs w:val="24"/>
        </w:rPr>
        <w:t xml:space="preserve">la costruzione di un edificio non può essere consegnata in modo incrementale come un'applicazione software — aggiungere un piano interrato dopo che i primi due piani sono stati già costruiti comporta costi insostenibili o è tecnicamente impossibile.</w:t>
      </w:r>
      <w:r>
        <w:rPr>
          <w:rFonts w:ascii="Arial" w:cs="Arial" w:eastAsia="Arial" w:hAnsi="Arial"/>
          <w:b/>
          <w:bCs/>
          <w:color w:val="2E75B6"/>
          <w:sz w:val="21"/>
          <w:szCs w:val="21"/>
        </w:rPr>
        <w:t xml:space="preserve"> [Thesing et al., 2021]</w:t>
      </w:r>
    </w:p>
    <w:p>
      <w:pPr>
        <w:pStyle w:val="ListParagraph"/>
        <w:numPr>
          <w:ilvl w:val="0"/>
          <w:numId w:val="2"/>
        </w:numPr>
        <w:spacing w:after="60" w:before="60" w:line="276" w:lineRule="auto"/>
      </w:pPr>
      <w:r>
        <w:rPr>
          <w:rFonts w:ascii="Arial" w:cs="Arial" w:eastAsia="Arial" w:hAnsi="Arial"/>
          <w:b/>
          <w:bCs/>
          <w:sz w:val="24"/>
          <w:szCs w:val="24"/>
        </w:rPr>
        <w:t xml:space="preserve">One-shot game: </w:t>
      </w:r>
      <w:r>
        <w:rPr>
          <w:rFonts w:ascii="Arial" w:cs="Arial" w:eastAsia="Arial" w:hAnsi="Arial"/>
          <w:color w:val="111111"/>
          <w:sz w:val="24"/>
          <w:szCs w:val="24"/>
        </w:rPr>
        <w:t xml:space="preserve">le modifiche frequenti possono essere escluse da vincoli legali, tecnici o economici. Un trasferimento di impianto produttivo, ad esempio, non ammette iterazioni reversibili.</w:t>
      </w:r>
      <w:r>
        <w:rPr>
          <w:rFonts w:ascii="Arial" w:cs="Arial" w:eastAsia="Arial" w:hAnsi="Arial"/>
          <w:b/>
          <w:bCs/>
          <w:color w:val="2E75B6"/>
          <w:sz w:val="21"/>
          <w:szCs w:val="21"/>
        </w:rPr>
        <w:t xml:space="preserve"> [Thesing et al., 2021]</w:t>
      </w:r>
    </w:p>
    <w:p>
      <w:pPr>
        <w:pStyle w:val="ListParagraph"/>
        <w:numPr>
          <w:ilvl w:val="0"/>
          <w:numId w:val="2"/>
        </w:numPr>
        <w:spacing w:after="60" w:before="60" w:line="276" w:lineRule="auto"/>
      </w:pPr>
      <w:r>
        <w:rPr>
          <w:rFonts w:ascii="Arial" w:cs="Arial" w:eastAsia="Arial" w:hAnsi="Arial"/>
          <w:b/>
          <w:bCs/>
          <w:sz w:val="24"/>
          <w:szCs w:val="24"/>
        </w:rPr>
        <w:t xml:space="preserve">Criticalità operativa: </w:t>
      </w:r>
      <w:r>
        <w:rPr>
          <w:rFonts w:ascii="Arial" w:cs="Arial" w:eastAsia="Arial" w:hAnsi="Arial"/>
          <w:color w:val="111111"/>
          <w:sz w:val="24"/>
          <w:szCs w:val="24"/>
        </w:rPr>
        <w:t xml:space="preserve">in sistemi safety-critical o real-time, i rischi operativi precludono un approccio iterativo che ammette stati intermedi non completamente validati.</w:t>
      </w:r>
      <w:r>
        <w:rPr>
          <w:rFonts w:ascii="Arial" w:cs="Arial" w:eastAsia="Arial" w:hAnsi="Arial"/>
          <w:b/>
          <w:bCs/>
          <w:color w:val="2E75B6"/>
          <w:sz w:val="21"/>
          <w:szCs w:val="21"/>
        </w:rPr>
        <w:t xml:space="preserve"> [Thesing et al., 2021]</w:t>
      </w:r>
    </w:p>
    <w:p>
      <w:pPr>
        <w:spacing w:after="20" w:before="40"/>
      </w:pPr>
    </w:p>
    <w:p>
      <w:pPr>
        <w:spacing w:after="110" w:before="110" w:line="288" w:lineRule="auto"/>
        <w:jc w:val="both"/>
      </w:pPr>
      <w:r>
        <w:rPr>
          <w:rFonts w:ascii="Arial" w:cs="Arial" w:eastAsia="Arial" w:hAnsi="Arial"/>
          <w:color w:val="111111"/>
          <w:sz w:val="24"/>
          <w:szCs w:val="24"/>
        </w:rPr>
        <w:t xml:space="preserve">A questi vincoli strutturali se ne aggiunge uno culturale, altrettanto rilevante: il settore delle costruzioni ha sviluppato pratiche contrattuali e normative orientate alla gestione del rischio attraverso la definizione anticipata di scope, tempi e costi. Questo sistema di vincoli è difficilmente compatibile con la flessibilità dello scope tipica dei processi agile.</w:t>
      </w:r>
    </w:p>
    <w:p>
      <w:pPr>
        <w:spacing w:after="110" w:before="110" w:line="288" w:lineRule="auto"/>
        <w:jc w:val="both"/>
      </w:pPr>
      <w:r>
        <w:rPr>
          <w:rFonts w:ascii="Arial" w:cs="Arial" w:eastAsia="Arial" w:hAnsi="Arial"/>
          <w:color w:val="111111"/>
          <w:sz w:val="24"/>
          <w:szCs w:val="24"/>
        </w:rPr>
        <w:t xml:space="preserve">Nonostante queste limitazioni, Mohamed e Moselhi (2019) osservano che l'aumento della flessibilità e la riduzione della formalità dei processi agile non devono portare al loro scarto: </w:t>
      </w:r>
      <w:r>
        <w:rPr>
          <w:rFonts w:ascii="Arial" w:cs="Arial" w:eastAsia="Arial" w:hAnsi="Arial"/>
          <w:color w:val="111111"/>
          <w:sz w:val="24"/>
          <w:szCs w:val="24"/>
        </w:rPr>
        <w:t xml:space="preserve">"i principi agile non dovrebbero essere abbandonati se non possono essere tutti incorporati. Combinare l'agile con altri metodi come il modello waterfall tradizionale crea una soluzione ibrida più adatta a varie industrie"</w:t>
      </w:r>
      <w:r>
        <w:rPr>
          <w:rFonts w:ascii="Arial" w:cs="Arial" w:eastAsia="Arial" w:hAnsi="Arial"/>
          <w:color w:val="111111"/>
          <w:sz w:val="24"/>
          <w:szCs w:val="24"/>
        </w:rPr>
        <w:t xml:space="preserve">. È questo il punto di partenza della riflessione sulla gestione agile in costruzione: non una sostituzione del waterfall, ma una sua integrazione con elementi iterativi nei punti del processo in cui questi producono maggior valore.</w:t>
      </w:r>
      <w:r>
        <w:rPr>
          <w:rFonts w:ascii="Arial" w:cs="Arial" w:eastAsia="Arial" w:hAnsi="Arial"/>
          <w:b/>
          <w:bCs/>
          <w:color w:val="2E75B6"/>
          <w:sz w:val="21"/>
          <w:szCs w:val="21"/>
        </w:rPr>
        <w:t xml:space="preserve"> [Mohamed &amp; Moselhi, 2019]</w:t>
      </w:r>
    </w:p>
    <w:p>
      <w:pPr>
        <w:spacing w:after="60" w:before="60"/>
      </w:pPr>
    </w:p>
    <w:p>
      <w:pPr>
        <w:pStyle w:val="Heading2"/>
        <w:spacing w:after="120" w:before="280"/>
      </w:pPr>
      <w:r>
        <w:rPr>
          <w:rFonts w:ascii="Arial" w:cs="Arial" w:eastAsia="Arial" w:hAnsi="Arial"/>
          <w:b/>
          <w:bCs/>
          <w:color w:val="2E75B6"/>
          <w:sz w:val="26"/>
          <w:szCs w:val="26"/>
        </w:rPr>
        <w:t xml:space="preserve">1.5 Verso un Approccio Ibrido: Framework Agile per la Fase Costruttiva</w:t>
      </w:r>
    </w:p>
    <w:p>
      <w:pPr>
        <w:spacing w:after="110" w:before="110" w:line="288" w:lineRule="auto"/>
        <w:jc w:val="both"/>
      </w:pPr>
      <w:r>
        <w:rPr>
          <w:rFonts w:ascii="Arial" w:cs="Arial" w:eastAsia="Arial" w:hAnsi="Arial"/>
          <w:color w:val="111111"/>
          <w:sz w:val="24"/>
          <w:szCs w:val="24"/>
        </w:rPr>
        <w:t xml:space="preserve">Il contributo più rilevante della ricerca applicata all'agile in costruzione è l'identificazione di un approccio ibrido che adotta le pratiche agile selettivamente, nelle fasi e nei processi in cui queste producono benefici concreti senza confliggere con i vincoli strutturali del settore.</w:t>
      </w:r>
    </w:p>
    <w:p>
      <w:pPr>
        <w:spacing w:after="110" w:before="110" w:line="288" w:lineRule="auto"/>
        <w:jc w:val="both"/>
      </w:pPr>
      <w:r>
        <w:rPr>
          <w:rFonts w:ascii="Arial" w:cs="Arial" w:eastAsia="Arial" w:hAnsi="Arial"/>
          <w:color w:val="111111"/>
          <w:sz w:val="24"/>
          <w:szCs w:val="24"/>
        </w:rPr>
        <w:t xml:space="preserve">Secondo il modello di Stacey applicato alla complessità di progetto, la costruzione si colloca in una posizione specifica: incertezza sui requisiti relativamente bassa (le specifiche architettoniche e strutturali sono definite prima dell'avvio del cantiere), ma alta incertezza tecnica (variabilità delle condizioni di sito, interferenze tra lavorazioni, produttività dei team, condizioni meteorologiche). Questa combinazione, come argomentano Mohamed e Moselhi (2019), </w:t>
      </w:r>
      <w:r>
        <w:rPr>
          <w:rFonts w:ascii="Arial" w:cs="Arial" w:eastAsia="Arial" w:hAnsi="Arial"/>
          <w:color w:val="111111"/>
          <w:sz w:val="24"/>
          <w:szCs w:val="24"/>
        </w:rPr>
        <w:t xml:space="preserve">"aumenta la probabilità di cambiamenti, lavoro sprecato e rilavorazioni, e richiede approcci adattativi"</w:t>
      </w:r>
      <w:r>
        <w:rPr>
          <w:rFonts w:ascii="Arial" w:cs="Arial" w:eastAsia="Arial" w:hAnsi="Arial"/>
          <w:color w:val="111111"/>
          <w:sz w:val="24"/>
          <w:szCs w:val="24"/>
        </w:rPr>
        <w:t xml:space="preserve"> — non per ridefinire iterativamente i requisiti, ma per rispondere in modo rapido ed efficace alle variazioni dell'esecuzione.</w:t>
      </w:r>
      <w:r>
        <w:rPr>
          <w:rFonts w:ascii="Arial" w:cs="Arial" w:eastAsia="Arial" w:hAnsi="Arial"/>
          <w:b/>
          <w:bCs/>
          <w:color w:val="2E75B6"/>
          <w:sz w:val="21"/>
          <w:szCs w:val="21"/>
        </w:rPr>
        <w:t xml:space="preserve"> [Mohamed &amp; Moselhi, 2019]</w:t>
      </w:r>
    </w:p>
    <w:p>
      <w:pPr>
        <w:spacing w:after="110" w:before="110" w:line="288" w:lineRule="auto"/>
        <w:jc w:val="both"/>
      </w:pPr>
      <w:r>
        <w:rPr>
          <w:rFonts w:ascii="Arial" w:cs="Arial" w:eastAsia="Arial" w:hAnsi="Arial"/>
          <w:color w:val="111111"/>
          <w:sz w:val="24"/>
          <w:szCs w:val="24"/>
        </w:rPr>
        <w:t xml:space="preserve">Il framework proposto da Mohamed e Moselhi (2019) articola l'approccio ibrido in tre fasi operative che si ripetono per ogni milestone del progetto di costruzione:</w:t>
      </w:r>
    </w:p>
    <w:p>
      <w:pPr>
        <w:spacing w:after="20" w:before="40"/>
      </w:pPr>
    </w:p>
    <w:p>
      <w:pPr>
        <w:pStyle w:val="ListParagraph"/>
        <w:numPr>
          <w:ilvl w:val="0"/>
          <w:numId w:val="2"/>
        </w:numPr>
        <w:spacing w:after="60" w:before="60" w:line="276" w:lineRule="auto"/>
      </w:pPr>
      <w:r>
        <w:rPr>
          <w:rFonts w:ascii="Arial" w:cs="Arial" w:eastAsia="Arial" w:hAnsi="Arial"/>
          <w:b/>
          <w:bCs/>
          <w:sz w:val="24"/>
          <w:szCs w:val="24"/>
        </w:rPr>
        <w:t xml:space="preserve">Pianificazione (Planning): </w:t>
      </w:r>
      <w:r>
        <w:rPr>
          <w:rFonts w:ascii="Arial" w:cs="Arial" w:eastAsia="Arial" w:hAnsi="Arial"/>
          <w:color w:val="111111"/>
          <w:sz w:val="24"/>
          <w:szCs w:val="24"/>
        </w:rPr>
        <w:t xml:space="preserve">comprende la piena comprensione delle specifiche e dei documenti contrattuali, la preparazione di una baseline di progetto (schedule e costi) che incorpora le contingenze per rischi imprevisti, e la costruzione di un look-ahead schedule per la milestone successiva.</w:t>
      </w:r>
      <w:r>
        <w:rPr>
          <w:rFonts w:ascii="Arial" w:cs="Arial" w:eastAsia="Arial" w:hAnsi="Arial"/>
          <w:b/>
          <w:bCs/>
          <w:color w:val="2E75B6"/>
          <w:sz w:val="21"/>
          <w:szCs w:val="21"/>
        </w:rPr>
        <w:t xml:space="preserve"> [Mohamed &amp; Moselhi, 2019]</w:t>
      </w:r>
    </w:p>
    <w:p>
      <w:pPr>
        <w:pStyle w:val="ListParagraph"/>
        <w:numPr>
          <w:ilvl w:val="0"/>
          <w:numId w:val="2"/>
        </w:numPr>
        <w:spacing w:after="60" w:before="60" w:line="276" w:lineRule="auto"/>
      </w:pPr>
      <w:r>
        <w:rPr>
          <w:rFonts w:ascii="Arial" w:cs="Arial" w:eastAsia="Arial" w:hAnsi="Arial"/>
          <w:b/>
          <w:bCs/>
          <w:sz w:val="24"/>
          <w:szCs w:val="24"/>
        </w:rPr>
        <w:t xml:space="preserve">Acquisizione dati (Data Acquisition): </w:t>
      </w:r>
      <w:r>
        <w:rPr>
          <w:rFonts w:ascii="Arial" w:cs="Arial" w:eastAsia="Arial" w:hAnsi="Arial"/>
          <w:color w:val="111111"/>
          <w:sz w:val="24"/>
          <w:szCs w:val="24"/>
        </w:rPr>
        <w:t xml:space="preserve">durante l'esecuzione, tecnologie di acquisizione automatizzata (BIM, sensori IoT, fotogrammetria, sistemi di tracciamento delle risorse) monitorano l'avanzamento fisico rispetto a costi e tempi in modo quasi real-time. I calcoli di Earned Value aggiornano continuamente lo stato del progetto.</w:t>
      </w:r>
      <w:r>
        <w:rPr>
          <w:rFonts w:ascii="Arial" w:cs="Arial" w:eastAsia="Arial" w:hAnsi="Arial"/>
          <w:b/>
          <w:bCs/>
          <w:color w:val="2E75B6"/>
          <w:sz w:val="21"/>
          <w:szCs w:val="21"/>
        </w:rPr>
        <w:t xml:space="preserve"> [Mohamed &amp; Moselhi, 2019]</w:t>
      </w:r>
    </w:p>
    <w:p>
      <w:pPr>
        <w:pStyle w:val="ListParagraph"/>
        <w:numPr>
          <w:ilvl w:val="0"/>
          <w:numId w:val="2"/>
        </w:numPr>
        <w:spacing w:after="60" w:before="60" w:line="276" w:lineRule="auto"/>
      </w:pPr>
      <w:r>
        <w:rPr>
          <w:rFonts w:ascii="Arial" w:cs="Arial" w:eastAsia="Arial" w:hAnsi="Arial"/>
          <w:b/>
          <w:bCs/>
          <w:sz w:val="24"/>
          <w:szCs w:val="24"/>
        </w:rPr>
        <w:t xml:space="preserve">Reporting e controllo dell'avanzamento (Progress Reporting &amp; Control): </w:t>
      </w:r>
      <w:r>
        <w:rPr>
          <w:rFonts w:ascii="Arial" w:cs="Arial" w:eastAsia="Arial" w:hAnsi="Arial"/>
          <w:color w:val="111111"/>
          <w:sz w:val="24"/>
          <w:szCs w:val="24"/>
        </w:rPr>
        <w:t xml:space="preserve">riunioni di revisione periodiche con tutti gli stakeholder — compreso il cliente — confrontano lo stato avanzamento lavori con la baseline, documentano le lessons learned e alimentano modelli di data analytics predittivi per le fasi successive. Il ciclo si chiude e si ripete.</w:t>
      </w:r>
      <w:r>
        <w:rPr>
          <w:rFonts w:ascii="Arial" w:cs="Arial" w:eastAsia="Arial" w:hAnsi="Arial"/>
          <w:b/>
          <w:bCs/>
          <w:color w:val="2E75B6"/>
          <w:sz w:val="21"/>
          <w:szCs w:val="21"/>
        </w:rPr>
        <w:t xml:space="preserve"> [Mohamed &amp; Moselhi, 2019]</w:t>
      </w:r>
    </w:p>
    <w:p>
      <w:pPr>
        <w:spacing w:after="20" w:before="40"/>
      </w:pPr>
    </w:p>
    <w:p>
      <w:pPr>
        <w:spacing w:after="110" w:before="110" w:line="288" w:lineRule="auto"/>
        <w:jc w:val="both"/>
      </w:pPr>
      <w:r>
        <w:rPr>
          <w:rFonts w:ascii="Arial" w:cs="Arial" w:eastAsia="Arial" w:hAnsi="Arial"/>
          <w:color w:val="111111"/>
          <w:sz w:val="24"/>
          <w:szCs w:val="24"/>
        </w:rPr>
        <w:t xml:space="preserve">Questo schema ibrido si rivela particolarmente adatto ai metodi di consegna integrati come il design-build e all'Integrated Project Delivery (IPD), dove l'interazione tempestiva tra i membri del team di progetto è condizione necessaria per il successo. I cicli brevi di feedback facilitano la gestione delle varianti e la correzione tempestiva delle deviazioni, riducendo il rischio che problemi emergano solo a lavori avanzati, quando l'impatto economico della correzione è massimo.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3"/>
              <w:left w:val="single" w:color="2E75B6" w:sz="3"/>
              <w:bottom w:val="single" w:color="2E75B6" w:sz="3"/>
              <w:right w:val="single" w:color="2E75B6" w:sz="3"/>
            </w:tcBorders>
            <w:shd w:fill="EAF4FB" w:val="clear"/>
            <w:tcMar>
              <w:top w:type="dxa" w:w="140"/>
              <w:left w:type="dxa" w:w="240"/>
              <w:bottom w:type="dxa" w:w="140"/>
              <w:right w:type="dxa" w:w="200"/>
            </w:tcMar>
          </w:tcPr>
          <w:p>
            <w:pPr>
              <w:spacing w:after="80" w:before="0" w:line="276" w:lineRule="auto"/>
              <w:jc w:val="both"/>
            </w:pPr>
            <w:r>
              <w:rPr>
                <w:rFonts w:ascii="Arial" w:cs="Arial" w:eastAsia="Arial" w:hAnsi="Arial"/>
                <w:b/>
                <w:bCs/>
                <w:color w:val="1F4E79"/>
                <w:sz w:val="22"/>
                <w:szCs w:val="22"/>
              </w:rPr>
              <w:t xml:space="preserve">Sintesi: cosa porta l'agile nei progetti di costruzione</w:t>
            </w:r>
          </w:p>
          <w:p>
            <w:pPr>
              <w:spacing w:after="60" w:before="60" w:line="276" w:lineRule="auto"/>
              <w:jc w:val="both"/>
            </w:pPr>
            <w:r>
              <w:rPr>
                <w:rFonts w:ascii="Arial" w:cs="Arial" w:eastAsia="Arial" w:hAnsi="Arial"/>
                <w:b/>
                <w:bCs/>
                <w:color w:val="2E75B6"/>
                <w:sz w:val="24"/>
                <w:szCs w:val="24"/>
              </w:rPr>
              <w:t xml:space="preserve">Cambia la cadenza della comunicazione: </w:t>
            </w:r>
            <w:r>
              <w:rPr>
                <w:rFonts w:ascii="Arial" w:cs="Arial" w:eastAsia="Arial" w:hAnsi="Arial"/>
                <w:color w:val="222222"/>
                <w:sz w:val="24"/>
                <w:szCs w:val="24"/>
              </w:rPr>
              <w:t xml:space="preserve">i cicli brevi di revisione rendono visibili le derive prima che si trasformino in criticità irreversibili.</w:t>
            </w:r>
          </w:p>
          <w:p>
            <w:pPr>
              <w:spacing w:after="60" w:before="60" w:line="276" w:lineRule="auto"/>
              <w:jc w:val="both"/>
            </w:pPr>
            <w:r>
              <w:rPr>
                <w:rFonts w:ascii="Arial" w:cs="Arial" w:eastAsia="Arial" w:hAnsi="Arial"/>
                <w:b/>
                <w:bCs/>
                <w:color w:val="2E75B6"/>
                <w:sz w:val="24"/>
                <w:szCs w:val="24"/>
              </w:rPr>
              <w:t xml:space="preserve">Distribuisce la responsabilità decisionale: </w:t>
            </w:r>
            <w:r>
              <w:rPr>
                <w:rFonts w:ascii="Arial" w:cs="Arial" w:eastAsia="Arial" w:hAnsi="Arial"/>
                <w:color w:val="222222"/>
                <w:sz w:val="24"/>
                <w:szCs w:val="24"/>
              </w:rPr>
              <w:t xml:space="preserve">i team cross-funzionali con autorità operativa eliminano la dissociazione tra chi pianifica e chi esegue.</w:t>
            </w:r>
          </w:p>
          <w:p>
            <w:pPr>
              <w:spacing w:after="60" w:before="60" w:line="276" w:lineRule="auto"/>
              <w:jc w:val="both"/>
            </w:pPr>
            <w:r>
              <w:rPr>
                <w:rFonts w:ascii="Arial" w:cs="Arial" w:eastAsia="Arial" w:hAnsi="Arial"/>
                <w:b/>
                <w:bCs/>
                <w:color w:val="2E75B6"/>
                <w:sz w:val="24"/>
                <w:szCs w:val="24"/>
              </w:rPr>
              <w:t xml:space="preserve">Istituzionalizza l'apprendimento: </w:t>
            </w:r>
            <w:r>
              <w:rPr>
                <w:rFonts w:ascii="Arial" w:cs="Arial" w:eastAsia="Arial" w:hAnsi="Arial"/>
                <w:color w:val="222222"/>
                <w:sz w:val="24"/>
                <w:szCs w:val="24"/>
              </w:rPr>
              <w:t xml:space="preserve">le sessioni di retrospettiva al termine di ogni milestone producono lessons learned sistematiche, non episodiche.</w:t>
            </w:r>
          </w:p>
          <w:p>
            <w:pPr>
              <w:spacing w:after="60" w:before="60" w:line="276" w:lineRule="auto"/>
              <w:jc w:val="both"/>
            </w:pPr>
            <w:r>
              <w:rPr>
                <w:rFonts w:ascii="Arial" w:cs="Arial" w:eastAsia="Arial" w:hAnsi="Arial"/>
                <w:b/>
                <w:bCs/>
                <w:color w:val="2E75B6"/>
                <w:sz w:val="24"/>
                <w:szCs w:val="24"/>
              </w:rPr>
              <w:t xml:space="preserve">Non sostituisce la pianificazione: </w:t>
            </w:r>
            <w:r>
              <w:rPr>
                <w:rFonts w:ascii="Arial" w:cs="Arial" w:eastAsia="Arial" w:hAnsi="Arial"/>
                <w:color w:val="222222"/>
                <w:sz w:val="24"/>
                <w:szCs w:val="24"/>
              </w:rPr>
              <w:t xml:space="preserve">la baseline waterfall rimane la struttura portante del progetto; l'agile agisce come sistema nervoso adattivo sopra di essa.</w:t>
            </w:r>
          </w:p>
          <w:p>
            <w:pPr>
              <w:spacing w:after="0" w:before="60" w:line="276" w:lineRule="auto"/>
              <w:jc w:val="both"/>
            </w:pPr>
            <w:r>
              <w:rPr>
                <w:rFonts w:ascii="Arial" w:cs="Arial" w:eastAsia="Arial" w:hAnsi="Arial"/>
                <w:b/>
                <w:bCs/>
                <w:color w:val="2E75B6"/>
                <w:sz w:val="24"/>
                <w:szCs w:val="24"/>
              </w:rPr>
              <w:t xml:space="preserve">Richiede un contesto organizzativo abilitante: </w:t>
            </w:r>
            <w:r>
              <w:rPr>
                <w:rFonts w:ascii="Arial" w:cs="Arial" w:eastAsia="Arial" w:hAnsi="Arial"/>
                <w:color w:val="222222"/>
                <w:sz w:val="24"/>
                <w:szCs w:val="24"/>
              </w:rPr>
              <w:t xml:space="preserve">strutture proiettizzate con team co-locati e manager con autonomia decisionale sono prerequisiti per realizzare i benefici dell'approccio.</w:t>
            </w:r>
          </w:p>
        </w:tc>
      </w:tr>
    </w:tbl>
    <w:p>
      <w:pPr>
        <w:spacing w:after="80" w:before="120"/>
      </w:pPr>
    </w:p>
    <w:p>
      <w:pPr>
        <w:spacing w:after="60" w:before="300"/>
      </w:pPr>
      <w:r>
        <w:rPr>
          <w:rFonts w:ascii="Arial" w:cs="Arial" w:eastAsia="Arial" w:hAnsi="Arial"/>
          <w:b/>
          <w:bCs/>
          <w:color w:val="444444"/>
          <w:sz w:val="21"/>
          <w:szCs w:val="21"/>
        </w:rPr>
        <w:t xml:space="preserve">Riferimenti bibliografici del capitolo</w:t>
      </w:r>
    </w:p>
    <w:p>
      <w:pPr>
        <w:spacing w:after="40" w:before="40"/>
      </w:pPr>
      <w:r>
        <w:rPr>
          <w:rFonts w:ascii="Arial" w:cs="Arial" w:eastAsia="Arial" w:hAnsi="Arial"/>
          <w:color w:val="333333"/>
          <w:sz w:val="20"/>
          <w:szCs w:val="20"/>
        </w:rPr>
        <w:t xml:space="preserve">Thesing, T., Feldmann, C., Burchardt, M. (2021). Agile versus Waterfall Project Management: Decision Model for Selecting the Appropriate Approach to a Project. Procedia Computer Science, 181, 746–756. https://doi.org/10.1016/j.procs.2021.01.227</w:t>
      </w:r>
    </w:p>
    <w:p>
      <w:pPr>
        <w:spacing w:after="40" w:before="40"/>
      </w:pPr>
      <w:r>
        <w:rPr>
          <w:rFonts w:ascii="Arial" w:cs="Arial" w:eastAsia="Arial" w:hAnsi="Arial"/>
          <w:color w:val="333333"/>
          <w:sz w:val="20"/>
          <w:szCs w:val="20"/>
        </w:rPr>
        <w:t xml:space="preserve">Mohamed, B., Moselhi, O. (2019). A Framework for Utilization of Agile Management in Construction Management. CSCE Annual Conference, Laval (Greater Montreal), June 12–15, 2019, Paper CON21.</w:t>
      </w:r>
    </w:p>
    <w:p>
      <w:pPr>
        <w:spacing w:after="40" w:before="40"/>
      </w:pPr>
      <w:r>
        <w:rPr>
          <w:rFonts w:ascii="Arial" w:cs="Arial" w:eastAsia="Arial" w:hAnsi="Arial"/>
          <w:color w:val="333333"/>
          <w:sz w:val="20"/>
          <w:szCs w:val="20"/>
        </w:rPr>
        <w:t xml:space="preserve">Fowler, M., Highsmith, J. et al. (2001). Manifesto for Agile Software Development. Agile Alliance. www.agilemanifesto.org</w:t>
      </w:r>
    </w:p>
    <w:p>
      <w:pPr>
        <w:spacing w:after="40" w:before="40"/>
      </w:pPr>
      <w:r>
        <w:rPr>
          <w:rFonts w:ascii="Arial" w:cs="Arial" w:eastAsia="Arial" w:hAnsi="Arial"/>
          <w:color w:val="333333"/>
          <w:sz w:val="20"/>
          <w:szCs w:val="20"/>
        </w:rPr>
        <w:t xml:space="preserve">Project Management Institute — PMI (2017). A Guide to the Project Management Body of Knowledge (PMBOK Guide), 6th edition. PMI, Newtown Square, PA.</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i/>
      <w:i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2026-04-19T14:09:59.817Z</dcterms:created>
  <dcterms:modified xsi:type="dcterms:W3CDTF">2026-04-19T14:09:59.818Z</dcterms:modified>
</cp:coreProperties>
</file>

<file path=docProps/custom.xml><?xml version="1.0" encoding="utf-8"?>
<Properties xmlns="http://schemas.openxmlformats.org/officeDocument/2006/custom-properties" xmlns:vt="http://schemas.openxmlformats.org/officeDocument/2006/docPropsVTypes"/>
</file>