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Arial" w:cs="Arial" w:eastAsia="Arial" w:hAnsi="Arial"/>
          <w:b/>
          <w:bCs/>
          <w:color w:val="1F4E79"/>
          <w:sz w:val="32"/>
          <w:szCs w:val="32"/>
        </w:rPr>
        <w:t xml:space="preserve">Il Modello Waterfall nella Gestione dei Progetti</w:t>
      </w:r>
    </w:p>
    <w:p>
      <w:pPr>
        <w:spacing w:after="180" w:before="60"/>
      </w:pPr>
    </w:p>
    <w:p>
      <w:pPr>
        <w:pStyle w:val="Heading2"/>
        <w:spacing w:after="120" w:before="280"/>
      </w:pPr>
      <w:r>
        <w:rPr>
          <w:rFonts w:ascii="Arial" w:cs="Arial" w:eastAsia="Arial" w:hAnsi="Arial"/>
          <w:b/>
          <w:bCs/>
          <w:color w:val="2E75B6"/>
          <w:sz w:val="26"/>
          <w:szCs w:val="26"/>
        </w:rPr>
        <w:t xml:space="preserve">1.1 Origini e Contesto Storico</w:t>
      </w:r>
    </w:p>
    <w:p>
      <w:pPr>
        <w:spacing w:after="110" w:before="110" w:line="288" w:lineRule="auto"/>
        <w:jc w:val="both"/>
      </w:pPr>
      <w:r>
        <w:rPr>
          <w:rFonts w:ascii="Arial" w:cs="Arial" w:eastAsia="Arial" w:hAnsi="Arial"/>
          <w:color w:val="111111"/>
          <w:sz w:val="24"/>
          <w:szCs w:val="24"/>
        </w:rPr>
        <w:t xml:space="preserve">Il modello waterfall rappresenta il primo approccio strutturato e formalizzato alla gestione di progetti complessi. Le sue radici affondano nelle metodologie di pianificazione sequenziale già consolidate nell'industria manifatturiera e nelle costruzioni nel corso del Novecento: ambienti in cui la natura fisica dei processi produttivi — dove ogni fase è prerequisito della successiva — rendeva naturale una logica lineare e non iterativa.</w:t>
      </w:r>
    </w:p>
    <w:p>
      <w:pPr>
        <w:spacing w:after="110" w:before="110" w:line="288" w:lineRule="auto"/>
        <w:jc w:val="both"/>
      </w:pPr>
      <w:r>
        <w:rPr>
          <w:rFonts w:ascii="Arial" w:cs="Arial" w:eastAsia="Arial" w:hAnsi="Arial"/>
          <w:color w:val="111111"/>
          <w:sz w:val="24"/>
          <w:szCs w:val="24"/>
        </w:rPr>
        <w:t xml:space="preserve">La prima formalizzazione applicata allo sviluppo software è attribuita a </w:t>
      </w:r>
      <w:r>
        <w:rPr>
          <w:rFonts w:ascii="Arial" w:cs="Arial" w:eastAsia="Arial" w:hAnsi="Arial"/>
          <w:b/>
          <w:bCs/>
          <w:sz w:val="24"/>
          <w:szCs w:val="24"/>
        </w:rPr>
        <w:t xml:space="preserve">Winston W. Royce</w:t>
      </w:r>
      <w:r>
        <w:rPr>
          <w:rFonts w:ascii="Arial" w:cs="Arial" w:eastAsia="Arial" w:hAnsi="Arial"/>
          <w:color w:val="111111"/>
          <w:sz w:val="24"/>
          <w:szCs w:val="24"/>
        </w:rPr>
        <w:t xml:space="preserve">, ingegnere al Lockheed Software Technology Center, che nel 1970 pubblicò il paper </w:t>
      </w:r>
      <w:r>
        <w:rPr>
          <w:rFonts w:ascii="Arial" w:cs="Arial" w:eastAsia="Arial" w:hAnsi="Arial"/>
          <w:i/>
          <w:iCs/>
          <w:color w:val="555555"/>
          <w:sz w:val="22"/>
          <w:szCs w:val="22"/>
        </w:rPr>
        <w:t xml:space="preserve">"Managing the Development of Large Software Systems"</w:t>
      </w:r>
      <w:r>
        <w:rPr>
          <w:rFonts w:ascii="Arial" w:cs="Arial" w:eastAsia="Arial" w:hAnsi="Arial"/>
          <w:color w:val="111111"/>
          <w:sz w:val="24"/>
          <w:szCs w:val="24"/>
        </w:rPr>
        <w:t xml:space="preserve">. In questo testo, Royce descrisse le fasi sequenziali dello sviluppo software con un diagramma a cascata — da cui il termine waterfall, sebbene egli stesso non lo usasse mai esplicitamente.</w:t>
      </w:r>
      <w:r>
        <w:rPr>
          <w:rFonts w:ascii="Arial" w:cs="Arial" w:eastAsia="Arial" w:hAnsi="Arial"/>
          <w:b/>
          <w:bCs/>
          <w:color w:val="2E75B6"/>
          <w:sz w:val="21"/>
          <w:szCs w:val="21"/>
        </w:rPr>
        <w:t xml:space="preserve"> [Petersen et al., 2009]</w:t>
      </w:r>
    </w:p>
    <w:p>
      <w:pPr>
        <w:spacing w:after="110" w:before="110" w:line="288" w:lineRule="auto"/>
        <w:jc w:val="both"/>
      </w:pPr>
      <w:r>
        <w:rPr>
          <w:rFonts w:ascii="Arial" w:cs="Arial" w:eastAsia="Arial" w:hAnsi="Arial"/>
          <w:color w:val="111111"/>
          <w:sz w:val="24"/>
          <w:szCs w:val="24"/>
        </w:rPr>
        <w:t xml:space="preserve">Curiosamente, Royce presentò quel diagramma come esempio di processo difettoso, sottolineando i rischi di un approccio a passaggio unico in cui il testing avviene solo alla fine. La sua proposta prevedeva cicli iterativi e un forte coinvolgimento del cliente. Come riporta Wikipedia, </w:t>
      </w:r>
      <w:r>
        <w:rPr>
          <w:rFonts w:ascii="Arial" w:cs="Arial" w:eastAsia="Arial" w:hAnsi="Arial"/>
          <w:color w:val="111111"/>
          <w:sz w:val="24"/>
          <w:szCs w:val="24"/>
        </w:rPr>
        <w:t xml:space="preserve">il modello che avrebbe rivoluzionato l'industria era in realtà pensato da Royce come punto di partenza per discuterne i limiti</w:t>
      </w:r>
      <w:r>
        <w:rPr>
          <w:rFonts w:ascii="Arial" w:cs="Arial" w:eastAsia="Arial" w:hAnsi="Arial"/>
          <w:color w:val="111111"/>
          <w:sz w:val="24"/>
          <w:szCs w:val="24"/>
        </w:rPr>
        <w:t xml:space="preserve">, non come prescrizione definitiva. Il termine "waterfall" compare per la prima volta solo nel 1976, in un paper di Bell e Thayer.</w:t>
      </w:r>
      <w:r>
        <w:rPr>
          <w:rFonts w:ascii="Arial" w:cs="Arial" w:eastAsia="Arial" w:hAnsi="Arial"/>
          <w:b/>
          <w:bCs/>
          <w:color w:val="2E75B6"/>
          <w:sz w:val="21"/>
          <w:szCs w:val="21"/>
        </w:rPr>
        <w:t xml:space="preserve"> [Wikipedia, 2024]</w:t>
      </w:r>
    </w:p>
    <w:p>
      <w:pPr>
        <w:spacing w:after="110" w:before="110" w:line="288" w:lineRule="auto"/>
        <w:jc w:val="both"/>
      </w:pPr>
      <w:r>
        <w:rPr>
          <w:rFonts w:ascii="Arial" w:cs="Arial" w:eastAsia="Arial" w:hAnsi="Arial"/>
          <w:color w:val="111111"/>
          <w:sz w:val="24"/>
          <w:szCs w:val="24"/>
        </w:rPr>
        <w:t xml:space="preserve">Nonostante questa origine paradossale, il modello waterfall divenne rapidamente lo standard de facto nella gestione di progetti complessi. Nel 1985 il Dipartimento della Difesa statunitense lo adottò ufficialmente come metodologia obbligatoria per lo sviluppo software attraverso la norma DOD-STD-2167, mantenendola fino al 1994. Questo adeguamento istituzionale contribuì a consolidare il waterfall come paradigma dominante in settori regolati e ad alta complessità gestionale: costruzioni, difesa, aerospazio, infrastrutture pubbliche.</w:t>
      </w:r>
    </w:p>
    <w:p>
      <w:pPr>
        <w:spacing w:after="110" w:before="110" w:line="288" w:lineRule="auto"/>
        <w:jc w:val="both"/>
      </w:pPr>
      <w:r>
        <w:rPr>
          <w:rFonts w:ascii="Arial" w:cs="Arial" w:eastAsia="Arial" w:hAnsi="Arial"/>
          <w:color w:val="111111"/>
          <w:sz w:val="24"/>
          <w:szCs w:val="24"/>
        </w:rPr>
        <w:t xml:space="preserve">La diffusione del modello si spiega anche con l'affinità strutturale che esso presenta rispetto alle pratiche di project management consolidate in ambito ingegneristico. Come osservano Samaratova (2024) e Thesing et al. (2021), il waterfall garantisce </w:t>
      </w:r>
      <w:r>
        <w:rPr>
          <w:rFonts w:ascii="Arial" w:cs="Arial" w:eastAsia="Arial" w:hAnsi="Arial"/>
          <w:b/>
          <w:bCs/>
          <w:sz w:val="24"/>
          <w:szCs w:val="24"/>
        </w:rPr>
        <w:t xml:space="preserve">struttura, prevedibilità e tracciabilità documentale</w:t>
      </w:r>
      <w:r>
        <w:rPr>
          <w:rFonts w:ascii="Arial" w:cs="Arial" w:eastAsia="Arial" w:hAnsi="Arial"/>
          <w:color w:val="111111"/>
          <w:sz w:val="24"/>
          <w:szCs w:val="24"/>
        </w:rPr>
        <w:t xml:space="preserve"> — qualità particolarmente preziose in contesti dove le deviazioni dal piano possono avere conseguenze legali, normative o di sicurezza pubblica.</w:t>
      </w:r>
      <w:r>
        <w:rPr>
          <w:rFonts w:ascii="Arial" w:cs="Arial" w:eastAsia="Arial" w:hAnsi="Arial"/>
          <w:b/>
          <w:bCs/>
          <w:color w:val="2E75B6"/>
          <w:sz w:val="21"/>
          <w:szCs w:val="21"/>
        </w:rPr>
        <w:t xml:space="preserve"> [Samaratova, 2024]</w:t>
      </w:r>
    </w:p>
    <w:p>
      <w:pPr>
        <w:spacing w:after="60" w:before="60"/>
      </w:pPr>
    </w:p>
    <w:p>
      <w:pPr>
        <w:pStyle w:val="Heading2"/>
        <w:spacing w:after="120" w:before="280"/>
      </w:pPr>
      <w:r>
        <w:rPr>
          <w:rFonts w:ascii="Arial" w:cs="Arial" w:eastAsia="Arial" w:hAnsi="Arial"/>
          <w:b/>
          <w:bCs/>
          <w:color w:val="2E75B6"/>
          <w:sz w:val="26"/>
          <w:szCs w:val="26"/>
        </w:rPr>
        <w:t xml:space="preserve">1.2 Struttura del Modello: le Cinque Fasi Sequenziali</w:t>
      </w:r>
    </w:p>
    <w:p>
      <w:pPr>
        <w:spacing w:after="110" w:before="110" w:line="288" w:lineRule="auto"/>
        <w:jc w:val="both"/>
      </w:pPr>
      <w:r>
        <w:rPr>
          <w:rFonts w:ascii="Arial" w:cs="Arial" w:eastAsia="Arial" w:hAnsi="Arial"/>
          <w:color w:val="111111"/>
          <w:sz w:val="24"/>
          <w:szCs w:val="24"/>
        </w:rPr>
        <w:t xml:space="preserve">Il waterfall si caratterizza per una struttura rigidamente sequenziale: ogni fase deve essere completata integralmente prima che la successiva abbia inizio, e l'output di ciascuna costituisce l'input formale della fase seguente. Questa proprietà — mutuata dalla sequenzialità fisica dei processi costruttivi — è insieme il principale punto di forza e il principale punto di debolezza del modello.</w:t>
      </w:r>
    </w:p>
    <w:p>
      <w:pPr>
        <w:spacing w:after="110" w:before="110" w:line="288" w:lineRule="auto"/>
        <w:jc w:val="both"/>
      </w:pPr>
      <w:r>
        <w:rPr>
          <w:rFonts w:ascii="Arial" w:cs="Arial" w:eastAsia="Arial" w:hAnsi="Arial"/>
          <w:color w:val="111111"/>
          <w:sz w:val="24"/>
          <w:szCs w:val="24"/>
        </w:rPr>
        <w:t xml:space="preserve">La versione più diffusa del modello articola il ciclo di vita del progetto in cinque fasi principali, come identificato da Samaratova (2024) con riferimento alla letteratura di settore:</w:t>
      </w:r>
      <w:r>
        <w:rPr>
          <w:rFonts w:ascii="Arial" w:cs="Arial" w:eastAsia="Arial" w:hAnsi="Arial"/>
          <w:b/>
          <w:bCs/>
          <w:color w:val="2E75B6"/>
          <w:sz w:val="21"/>
          <w:szCs w:val="21"/>
        </w:rPr>
        <w:t xml:space="preserve"> [Samaratova, 2024]</w:t>
      </w:r>
    </w:p>
    <w:p>
      <w:pPr>
        <w:spacing w:after="6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3963"/>
        <w:gridCol w:w="2763"/>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Fase</w:t>
            </w:r>
          </w:p>
        </w:tc>
        <w:tc>
          <w:tcPr>
            <w:tcW w:type="dxa" w:w="396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Contenuto e output</w:t>
            </w:r>
          </w:p>
        </w:tc>
        <w:tc>
          <w:tcPr>
            <w:tcW w:type="dxa" w:w="276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Nota critica</w:t>
            </w:r>
          </w:p>
        </w:tc>
      </w:tr>
      <w:tr>
        <w:tc>
          <w:tcPr>
            <w:tcW w:type="dxa" w:w="4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sz w:val="19"/>
                <w:szCs w:val="19"/>
              </w:rPr>
              <w:t xml:space="preserve">Analisi dei Requisiti — (Requirements Analysis)</w:t>
            </w:r>
          </w:p>
        </w:tc>
        <w:tc>
          <w:tcPr>
            <w:tcW w:type="dxa" w:w="39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both"/>
            </w:pPr>
            <w:r>
              <w:rPr>
                <w:rFonts w:ascii="Arial" w:cs="Arial" w:eastAsia="Arial" w:hAnsi="Arial"/>
                <w:sz w:val="19"/>
                <w:szCs w:val="19"/>
              </w:rPr>
              <w:t xml:space="preserve">Definizione integrale dello scope: raccolta e documentazione di tutti i requisiti funzionali e non funzionali. Produce il documento di specifica che vincola tutte le fasi successive.</w:t>
            </w:r>
          </w:p>
        </w:tc>
        <w:tc>
          <w:tcPr>
            <w:tcW w:type="dxa" w:w="2763"/>
            <w:tcBorders>
              <w:top w:val="single" w:color="CCCCCC" w:sz="1"/>
              <w:left w:val="single" w:color="CCCCCC" w:sz="1"/>
              <w:bottom w:val="single" w:color="CCCCCC" w:sz="1"/>
              <w:right w:val="single" w:color="CCCCCC" w:sz="1"/>
            </w:tcBorders>
            <w:shd w:fill="FFF0F0" w:val="clear"/>
            <w:tcMar>
              <w:top w:type="dxa" w:w="60"/>
              <w:left w:type="dxa" w:w="100"/>
              <w:bottom w:type="dxa" w:w="60"/>
              <w:right w:type="dxa" w:w="80"/>
            </w:tcMar>
          </w:tcPr>
          <w:p>
            <w:pPr>
              <w:jc w:val="both"/>
            </w:pPr>
            <w:r>
              <w:rPr>
                <w:rFonts w:ascii="Arial" w:cs="Arial" w:eastAsia="Arial" w:hAnsi="Arial"/>
                <w:color w:val="6B1A1A"/>
                <w:sz w:val="19"/>
                <w:szCs w:val="19"/>
              </w:rPr>
              <w:t xml:space="preserve">Base documentale dell'intero progetto; la qualità di questa fase determina il successo di tutte le successive.</w:t>
            </w:r>
          </w:p>
        </w:tc>
      </w:tr>
      <w:tr>
        <w:tc>
          <w:tcPr>
            <w:tcW w:type="dxa" w:w="4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20"/>
                <w:szCs w:val="20"/>
              </w:rPr>
              <w:t xml:space="preserve">2</w:t>
            </w:r>
          </w:p>
        </w:tc>
        <w:tc>
          <w:tcPr>
            <w:tcW w:type="dxa" w:w="19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80"/>
            </w:tcMar>
          </w:tcPr>
          <w:p>
            <w:r>
              <w:rPr>
                <w:rFonts w:ascii="Arial" w:cs="Arial" w:eastAsia="Arial" w:hAnsi="Arial"/>
                <w:b/>
                <w:bCs/>
                <w:sz w:val="19"/>
                <w:szCs w:val="19"/>
              </w:rPr>
              <w:t xml:space="preserve">Progettazione — (System Design)</w:t>
            </w:r>
          </w:p>
        </w:tc>
        <w:tc>
          <w:tcPr>
            <w:tcW w:type="dxa" w:w="3963"/>
            <w:tcBorders>
              <w:top w:val="single" w:color="CCCCCC" w:sz="1"/>
              <w:left w:val="single" w:color="CCCCCC" w:sz="1"/>
              <w:bottom w:val="single" w:color="CCCCCC" w:sz="1"/>
              <w:right w:val="single" w:color="CCCCCC" w:sz="1"/>
            </w:tcBorders>
            <w:shd w:fill="F8FAFB" w:val="clear"/>
            <w:tcMar>
              <w:top w:type="dxa" w:w="60"/>
              <w:left w:type="dxa" w:w="100"/>
              <w:bottom w:type="dxa" w:w="60"/>
              <w:right w:type="dxa" w:w="80"/>
            </w:tcMar>
          </w:tcPr>
          <w:p>
            <w:pPr>
              <w:jc w:val="both"/>
            </w:pPr>
            <w:r>
              <w:rPr>
                <w:rFonts w:ascii="Arial" w:cs="Arial" w:eastAsia="Arial" w:hAnsi="Arial"/>
                <w:sz w:val="19"/>
                <w:szCs w:val="19"/>
              </w:rPr>
              <w:t xml:space="preserve">Traduzione dei requisiti in architettura di sistema: progetto hardware e software, scelte tecnologiche, interfacce. Definisce come i requisiti verranno realizzati.</w:t>
            </w:r>
          </w:p>
        </w:tc>
        <w:tc>
          <w:tcPr>
            <w:tcW w:type="dxa" w:w="2763"/>
            <w:tcBorders>
              <w:top w:val="single" w:color="CCCCCC" w:sz="1"/>
              <w:left w:val="single" w:color="CCCCCC" w:sz="1"/>
              <w:bottom w:val="single" w:color="CCCCCC" w:sz="1"/>
              <w:right w:val="single" w:color="CCCCCC" w:sz="1"/>
            </w:tcBorders>
            <w:shd w:fill="FDEAEA" w:val="clear"/>
            <w:tcMar>
              <w:top w:type="dxa" w:w="60"/>
              <w:left w:type="dxa" w:w="100"/>
              <w:bottom w:type="dxa" w:w="60"/>
              <w:right w:type="dxa" w:w="80"/>
            </w:tcMar>
          </w:tcPr>
          <w:p>
            <w:pPr>
              <w:jc w:val="both"/>
            </w:pPr>
            <w:r>
              <w:rPr>
                <w:rFonts w:ascii="Arial" w:cs="Arial" w:eastAsia="Arial" w:hAnsi="Arial"/>
                <w:color w:val="6B1A1A"/>
                <w:sz w:val="19"/>
                <w:szCs w:val="19"/>
              </w:rPr>
              <w:t xml:space="preserve">Punto di non ritorno pratico: modifiche architetturali successive sono estremamente costose.</w:t>
            </w:r>
          </w:p>
        </w:tc>
      </w:tr>
      <w:tr>
        <w:tc>
          <w:tcPr>
            <w:tcW w:type="dxa" w:w="4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sz w:val="19"/>
                <w:szCs w:val="19"/>
              </w:rPr>
              <w:t xml:space="preserve">Implementazione — (Implementation)</w:t>
            </w:r>
          </w:p>
        </w:tc>
        <w:tc>
          <w:tcPr>
            <w:tcW w:type="dxa" w:w="39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both"/>
            </w:pPr>
            <w:r>
              <w:rPr>
                <w:rFonts w:ascii="Arial" w:cs="Arial" w:eastAsia="Arial" w:hAnsi="Arial"/>
                <w:sz w:val="19"/>
                <w:szCs w:val="19"/>
              </w:rPr>
              <w:t xml:space="preserve">Esecuzione fisica del progetto secondo le specifiche di design: scrittura del codice nel software, costruzione del manufatto nell'edilizia. È la fase produttiva principale.</w:t>
            </w:r>
          </w:p>
        </w:tc>
        <w:tc>
          <w:tcPr>
            <w:tcW w:type="dxa" w:w="2763"/>
            <w:tcBorders>
              <w:top w:val="single" w:color="CCCCCC" w:sz="1"/>
              <w:left w:val="single" w:color="CCCCCC" w:sz="1"/>
              <w:bottom w:val="single" w:color="CCCCCC" w:sz="1"/>
              <w:right w:val="single" w:color="CCCCCC" w:sz="1"/>
            </w:tcBorders>
            <w:shd w:fill="FFF0F0" w:val="clear"/>
            <w:tcMar>
              <w:top w:type="dxa" w:w="60"/>
              <w:left w:type="dxa" w:w="100"/>
              <w:bottom w:type="dxa" w:w="60"/>
              <w:right w:type="dxa" w:w="80"/>
            </w:tcMar>
          </w:tcPr>
          <w:p>
            <w:pPr>
              <w:jc w:val="both"/>
            </w:pPr>
            <w:r>
              <w:rPr>
                <w:rFonts w:ascii="Arial" w:cs="Arial" w:eastAsia="Arial" w:hAnsi="Arial"/>
                <w:color w:val="6B1A1A"/>
                <w:sz w:val="19"/>
                <w:szCs w:val="19"/>
              </w:rPr>
              <w:t xml:space="preserve">Nella costruzione corrisponde ai lavori di cantiere; modifiche in questa fase hanno impatto diretto su tempi e costi.</w:t>
            </w:r>
          </w:p>
        </w:tc>
      </w:tr>
      <w:tr>
        <w:tc>
          <w:tcPr>
            <w:tcW w:type="dxa" w:w="4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20"/>
                <w:szCs w:val="20"/>
              </w:rPr>
              <w:t xml:space="preserve">4</w:t>
            </w:r>
          </w:p>
        </w:tc>
        <w:tc>
          <w:tcPr>
            <w:tcW w:type="dxa" w:w="19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80"/>
            </w:tcMar>
          </w:tcPr>
          <w:p>
            <w:r>
              <w:rPr>
                <w:rFonts w:ascii="Arial" w:cs="Arial" w:eastAsia="Arial" w:hAnsi="Arial"/>
                <w:b/>
                <w:bCs/>
                <w:sz w:val="19"/>
                <w:szCs w:val="19"/>
              </w:rPr>
              <w:t xml:space="preserve">Integrazione e Verifica — (Integration &amp; Testing)</w:t>
            </w:r>
          </w:p>
        </w:tc>
        <w:tc>
          <w:tcPr>
            <w:tcW w:type="dxa" w:w="3963"/>
            <w:tcBorders>
              <w:top w:val="single" w:color="CCCCCC" w:sz="1"/>
              <w:left w:val="single" w:color="CCCCCC" w:sz="1"/>
              <w:bottom w:val="single" w:color="CCCCCC" w:sz="1"/>
              <w:right w:val="single" w:color="CCCCCC" w:sz="1"/>
            </w:tcBorders>
            <w:shd w:fill="F8FAFB" w:val="clear"/>
            <w:tcMar>
              <w:top w:type="dxa" w:w="60"/>
              <w:left w:type="dxa" w:w="100"/>
              <w:bottom w:type="dxa" w:w="60"/>
              <w:right w:type="dxa" w:w="80"/>
            </w:tcMar>
          </w:tcPr>
          <w:p>
            <w:pPr>
              <w:jc w:val="both"/>
            </w:pPr>
            <w:r>
              <w:rPr>
                <w:rFonts w:ascii="Arial" w:cs="Arial" w:eastAsia="Arial" w:hAnsi="Arial"/>
                <w:sz w:val="19"/>
                <w:szCs w:val="19"/>
              </w:rPr>
              <w:t xml:space="preserve">Prima verifica sistematica del prodotto: i componenti vengono integrati e testati rispetto ai requisiti iniziali. Difetti e non-conformità vengono identificati e corretti.</w:t>
            </w:r>
          </w:p>
        </w:tc>
        <w:tc>
          <w:tcPr>
            <w:tcW w:type="dxa" w:w="2763"/>
            <w:tcBorders>
              <w:top w:val="single" w:color="CCCCCC" w:sz="1"/>
              <w:left w:val="single" w:color="CCCCCC" w:sz="1"/>
              <w:bottom w:val="single" w:color="CCCCCC" w:sz="1"/>
              <w:right w:val="single" w:color="CCCCCC" w:sz="1"/>
            </w:tcBorders>
            <w:shd w:fill="FDEAEA" w:val="clear"/>
            <w:tcMar>
              <w:top w:type="dxa" w:w="60"/>
              <w:left w:type="dxa" w:w="100"/>
              <w:bottom w:type="dxa" w:w="60"/>
              <w:right w:type="dxa" w:w="80"/>
            </w:tcMar>
          </w:tcPr>
          <w:p>
            <w:pPr>
              <w:jc w:val="both"/>
            </w:pPr>
            <w:r>
              <w:rPr>
                <w:rFonts w:ascii="Arial" w:cs="Arial" w:eastAsia="Arial" w:hAnsi="Arial"/>
                <w:color w:val="6B1A1A"/>
                <w:sz w:val="19"/>
                <w:szCs w:val="19"/>
              </w:rPr>
              <w:t xml:space="preserve">Fase critica: in waterfall classico, è qui che emergono i problemi di allineamento con le aspettative del cliente, spesso a correzione costosa.</w:t>
            </w:r>
          </w:p>
        </w:tc>
      </w:tr>
      <w:tr>
        <w:tc>
          <w:tcPr>
            <w:tcW w:type="dxa" w:w="4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20"/>
                <w:szCs w:val="20"/>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sz w:val="19"/>
                <w:szCs w:val="19"/>
              </w:rPr>
              <w:t xml:space="preserve">Rilascio e Manutenzione — (Deployment &amp; Maintenance)</w:t>
            </w:r>
          </w:p>
        </w:tc>
        <w:tc>
          <w:tcPr>
            <w:tcW w:type="dxa" w:w="39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jc w:val="both"/>
            </w:pPr>
            <w:r>
              <w:rPr>
                <w:rFonts w:ascii="Arial" w:cs="Arial" w:eastAsia="Arial" w:hAnsi="Arial"/>
                <w:sz w:val="19"/>
                <w:szCs w:val="19"/>
              </w:rPr>
              <w:t xml:space="preserve">Consegna del prodotto finale al committente e gestione del ciclo di vita post-consegna: aggiornamenti, correzioni, adeguamenti a variazioni del contesto.</w:t>
            </w:r>
          </w:p>
        </w:tc>
        <w:tc>
          <w:tcPr>
            <w:tcW w:type="dxa" w:w="2763"/>
            <w:tcBorders>
              <w:top w:val="single" w:color="CCCCCC" w:sz="1"/>
              <w:left w:val="single" w:color="CCCCCC" w:sz="1"/>
              <w:bottom w:val="single" w:color="CCCCCC" w:sz="1"/>
              <w:right w:val="single" w:color="CCCCCC" w:sz="1"/>
            </w:tcBorders>
            <w:shd w:fill="FFF0F0" w:val="clear"/>
            <w:tcMar>
              <w:top w:type="dxa" w:w="60"/>
              <w:left w:type="dxa" w:w="100"/>
              <w:bottom w:type="dxa" w:w="60"/>
              <w:right w:type="dxa" w:w="80"/>
            </w:tcMar>
          </w:tcPr>
          <w:p>
            <w:pPr>
              <w:jc w:val="both"/>
            </w:pPr>
            <w:r>
              <w:rPr>
                <w:rFonts w:ascii="Arial" w:cs="Arial" w:eastAsia="Arial" w:hAnsi="Arial"/>
                <w:color w:val="6B1A1A"/>
                <w:sz w:val="19"/>
                <w:szCs w:val="19"/>
              </w:rPr>
              <w:t xml:space="preserve">Coincide con il collaudo e la garanzia nell'edilizia; problemi strutturali residui emergono solo in uso.</w:t>
            </w:r>
          </w:p>
        </w:tc>
      </w:tr>
    </w:tbl>
    <w:p>
      <w:pPr>
        <w:spacing w:after="200" w:before="60"/>
        <w:jc w:val="center"/>
      </w:pPr>
      <w:r>
        <w:rPr>
          <w:rFonts w:ascii="Arial" w:cs="Arial" w:eastAsia="Arial" w:hAnsi="Arial"/>
          <w:i/>
          <w:iCs/>
          <w:color w:val="555555"/>
          <w:sz w:val="22"/>
          <w:szCs w:val="22"/>
        </w:rPr>
        <w:t xml:space="preserve">Tabella 1 — Le cinque fasi del modello waterfall con contenuto, output attesi e note critiche. Elaborazione da Samaratova (2024) e Petersen et al. (2009).</w:t>
      </w:r>
    </w:p>
    <w:p>
      <w:pPr>
        <w:spacing w:after="110" w:before="110" w:line="288" w:lineRule="auto"/>
        <w:jc w:val="both"/>
      </w:pPr>
      <w:r>
        <w:rPr>
          <w:rFonts w:ascii="Arial" w:cs="Arial" w:eastAsia="Arial" w:hAnsi="Arial"/>
          <w:color w:val="111111"/>
          <w:sz w:val="24"/>
          <w:szCs w:val="24"/>
        </w:rPr>
        <w:t xml:space="preserve">La Tabella 1 evidenzia una caratteristica strutturale fondamentale: la qualità del prodotto finale dipende in misura critica dalla completezza e accuratezza della Fase 1. Se i requisiti non sono definiti correttamente all'avvio, l'errore si propaga attraverso tutte le fasi successive, amplificandosi a ogni passaggio. Ricerche empiriche degli anni Settanta condotte da Barry Boehm presso IBM e TRW hanno quantificato questo effetto moltiplicatore: correggere un errore di requisiti in fase di consegna può costare fino a 100 volte rispetto a individuarlo durante la raccolta dei requisiti stessi.</w:t>
      </w:r>
    </w:p>
    <w:p>
      <w:pPr>
        <w:spacing w:after="60" w:before="60"/>
      </w:pPr>
    </w:p>
    <w:p>
      <w:pPr>
        <w:pStyle w:val="Heading2"/>
        <w:spacing w:after="120" w:before="280"/>
      </w:pPr>
      <w:r>
        <w:rPr>
          <w:rFonts w:ascii="Arial" w:cs="Arial" w:eastAsia="Arial" w:hAnsi="Arial"/>
          <w:b/>
          <w:bCs/>
          <w:color w:val="2E75B6"/>
          <w:sz w:val="26"/>
          <w:szCs w:val="26"/>
        </w:rPr>
        <w:t xml:space="preserve">1.3 Vantaggi e Limiti: un Bilancio Critico</w:t>
      </w:r>
    </w:p>
    <w:p>
      <w:pPr>
        <w:spacing w:after="110" w:before="110" w:line="288" w:lineRule="auto"/>
        <w:jc w:val="both"/>
      </w:pPr>
      <w:r>
        <w:rPr>
          <w:rFonts w:ascii="Arial" w:cs="Arial" w:eastAsia="Arial" w:hAnsi="Arial"/>
          <w:color w:val="111111"/>
          <w:sz w:val="24"/>
          <w:szCs w:val="24"/>
        </w:rPr>
        <w:t xml:space="preserve">La letteratura sul waterfall ha a lungo dibattuto i suoi pregi e difetti, spesso in modo ideologico piuttosto che empirico. Petersen, Wohlin e Baca (2009) — che rappresentano il contributo più rigoroso disponibile, avendo condotto un case study empirico su larga scala presso Ericsson AB in Svezia — sottolineano che molti dei problemi attribuiti al waterfall in letteratura sono basati su credenze e aneddoti, non su evidenze misurate. Il loro studio ha il merito di confrontare sistematicamente le criticità teoriche con dati raccolti in un contesto industriale reale.</w:t>
      </w:r>
    </w:p>
    <w:p>
      <w:pPr>
        <w:spacing w:after="110" w:before="110" w:line="288" w:lineRule="auto"/>
        <w:jc w:val="both"/>
      </w:pPr>
      <w:r>
        <w:rPr>
          <w:rFonts w:ascii="Arial" w:cs="Arial" w:eastAsia="Arial" w:hAnsi="Arial"/>
          <w:color w:val="111111"/>
          <w:sz w:val="24"/>
          <w:szCs w:val="24"/>
        </w:rPr>
        <w:t xml:space="preserve">La Tabella 2 sintetizza il bilanciamento tra vantaggi strutturali e limiti operativi del modello, integrando le analisi di Samaratova (2024) con le evidenze empiriche di Petersen et al. (2009).</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A5C34" w:val="clear"/>
            <w:tcMar>
              <w:top w:type="dxa" w:w="80"/>
              <w:left w:type="dxa" w:w="120"/>
              <w:bottom w:type="dxa" w:w="80"/>
              <w:right w:type="dxa" w:w="80"/>
            </w:tcMar>
          </w:tcPr>
          <w:p>
            <w:pPr>
              <w:jc w:val="center"/>
            </w:pPr>
            <w:r>
              <w:rPr>
                <w:rFonts w:ascii="Arial" w:cs="Arial" w:eastAsia="Arial" w:hAnsi="Arial"/>
                <w:b/>
                <w:bCs/>
                <w:color w:val="FFFFFF"/>
                <w:sz w:val="21"/>
                <w:szCs w:val="21"/>
              </w:rPr>
              <w:t xml:space="preserve">Vantaggi</w:t>
            </w:r>
          </w:p>
        </w:tc>
        <w:tc>
          <w:tcPr>
            <w:tcW w:type="dxa" w:w="4513"/>
            <w:tcBorders>
              <w:top w:val="single" w:color="CCCCCC" w:sz="1"/>
              <w:left w:val="single" w:color="CCCCCC" w:sz="1"/>
              <w:bottom w:val="single" w:color="CCCCCC" w:sz="1"/>
              <w:right w:val="single" w:color="CCCCCC" w:sz="1"/>
            </w:tcBorders>
            <w:shd w:fill="8B1A1A" w:val="clear"/>
            <w:tcMar>
              <w:top w:type="dxa" w:w="80"/>
              <w:left w:type="dxa" w:w="120"/>
              <w:bottom w:type="dxa" w:w="80"/>
              <w:right w:type="dxa" w:w="80"/>
            </w:tcMar>
          </w:tcPr>
          <w:p>
            <w:pPr>
              <w:jc w:val="center"/>
            </w:pPr>
            <w:r>
              <w:rPr>
                <w:rFonts w:ascii="Arial" w:cs="Arial" w:eastAsia="Arial" w:hAnsi="Arial"/>
                <w:b/>
                <w:bCs/>
                <w:color w:val="FFFFFF"/>
                <w:sz w:val="21"/>
                <w:szCs w:val="21"/>
              </w:rPr>
              <w:t xml:space="preserve">Limiti</w:t>
            </w:r>
          </w:p>
        </w:tc>
      </w:tr>
      <w:tr>
        <w:tc>
          <w:tcPr>
            <w:tcW w:type="dxa" w:w="4513"/>
            <w:tcBorders>
              <w:top w:val="single" w:color="CCCCCC" w:sz="1"/>
              <w:left w:val="single" w:color="CCCCCC" w:sz="1"/>
              <w:bottom w:val="single" w:color="CCCCCC" w:sz="1"/>
              <w:right w:val="single" w:color="CCCCCC" w:sz="1"/>
            </w:tcBorders>
            <w:shd w:fill="E6F4EC" w:val="clear"/>
            <w:tcMar>
              <w:top w:type="dxa" w:w="70"/>
              <w:left w:type="dxa" w:w="120"/>
              <w:bottom w:type="dxa" w:w="70"/>
              <w:right w:type="dxa" w:w="80"/>
            </w:tcMar>
          </w:tcPr>
          <w:p>
            <w:pPr>
              <w:jc w:val="both"/>
            </w:pPr>
            <w:r>
              <w:rPr>
                <w:rFonts w:ascii="Arial" w:cs="Arial" w:eastAsia="Arial" w:hAnsi="Arial"/>
                <w:color w:val="1A3322"/>
                <w:sz w:val="20"/>
                <w:szCs w:val="20"/>
              </w:rPr>
              <w:t xml:space="preserve">Struttura e chiarezza procedurale. Ogni fase ha obiettivi definiti, output documentati e criteri di completamento verificabili. Responsabilità e milestones sono chiari fin dall'avvio.</w:t>
            </w:r>
          </w:p>
        </w:tc>
        <w:tc>
          <w:tcPr>
            <w:tcW w:type="dxa" w:w="4513"/>
            <w:tcBorders>
              <w:top w:val="single" w:color="CCCCCC" w:sz="1"/>
              <w:left w:val="single" w:color="CCCCCC" w:sz="1"/>
              <w:bottom w:val="single" w:color="CCCCCC" w:sz="1"/>
              <w:right w:val="single" w:color="CCCCCC" w:sz="1"/>
            </w:tcBorders>
            <w:shd w:fill="FDEAEA" w:val="clear"/>
            <w:tcMar>
              <w:top w:type="dxa" w:w="70"/>
              <w:left w:type="dxa" w:w="120"/>
              <w:bottom w:type="dxa" w:w="70"/>
              <w:right w:type="dxa" w:w="80"/>
            </w:tcMar>
          </w:tcPr>
          <w:p>
            <w:pPr>
              <w:jc w:val="both"/>
            </w:pPr>
            <w:r>
              <w:rPr>
                <w:rFonts w:ascii="Arial" w:cs="Arial" w:eastAsia="Arial" w:hAnsi="Arial"/>
                <w:color w:val="6B1A1A"/>
                <w:sz w:val="20"/>
                <w:szCs w:val="20"/>
              </w:rPr>
              <w:t xml:space="preserve">Inflessibilità strutturale. Una volta avanzati in una fase, tornare indietro per correggere fasi precedenti è costoso e formalmente complicato, anche quando le circostanze lo richiederebbero.</w:t>
            </w:r>
          </w:p>
        </w:tc>
      </w:tr>
      <w:tr>
        <w:tc>
          <w:tcPr>
            <w:tcW w:type="dxa" w:w="4513"/>
            <w:tcBorders>
              <w:top w:val="single" w:color="CCCCCC" w:sz="1"/>
              <w:left w:val="single" w:color="CCCCCC" w:sz="1"/>
              <w:bottom w:val="single" w:color="CCCCCC" w:sz="1"/>
              <w:right w:val="single" w:color="CCCCCC" w:sz="1"/>
            </w:tcBorders>
            <w:shd w:fill="F0FAF4" w:val="clear"/>
            <w:tcMar>
              <w:top w:type="dxa" w:w="70"/>
              <w:left w:type="dxa" w:w="120"/>
              <w:bottom w:type="dxa" w:w="70"/>
              <w:right w:type="dxa" w:w="80"/>
            </w:tcMar>
          </w:tcPr>
          <w:p>
            <w:pPr>
              <w:jc w:val="both"/>
            </w:pPr>
            <w:r>
              <w:rPr>
                <w:rFonts w:ascii="Arial" w:cs="Arial" w:eastAsia="Arial" w:hAnsi="Arial"/>
                <w:color w:val="1A3322"/>
                <w:sz w:val="20"/>
                <w:szCs w:val="20"/>
              </w:rPr>
              <w:t xml:space="preserve">Prevedibilità di tempi e costi. La pianificazione upfront consente stime affidabili di budget e schedule; ideale per contratti a prezzo fisso, appalti pubblici, commesse con deadline vincolanti.</w:t>
            </w:r>
          </w:p>
        </w:tc>
        <w:tc>
          <w:tcPr>
            <w:tcW w:type="dxa" w:w="4513"/>
            <w:tcBorders>
              <w:top w:val="single" w:color="CCCCCC" w:sz="1"/>
              <w:left w:val="single" w:color="CCCCCC" w:sz="1"/>
              <w:bottom w:val="single" w:color="CCCCCC" w:sz="1"/>
              <w:right w:val="single" w:color="CCCCCC" w:sz="1"/>
            </w:tcBorders>
            <w:shd w:fill="FFF0F0" w:val="clear"/>
            <w:tcMar>
              <w:top w:type="dxa" w:w="70"/>
              <w:left w:type="dxa" w:w="120"/>
              <w:bottom w:type="dxa" w:w="70"/>
              <w:right w:type="dxa" w:w="80"/>
            </w:tcMar>
          </w:tcPr>
          <w:p>
            <w:pPr>
              <w:jc w:val="both"/>
            </w:pPr>
            <w:r>
              <w:rPr>
                <w:rFonts w:ascii="Arial" w:cs="Arial" w:eastAsia="Arial" w:hAnsi="Arial"/>
                <w:color w:val="6B1A1A"/>
                <w:sz w:val="20"/>
                <w:szCs w:val="20"/>
              </w:rPr>
              <w:t xml:space="preserve">Rilevazione tardiva dei difetti. Il testing sistematico avviene solo dopo l'implementazione; problemi di allineamento con le aspettative del cliente emergono quando la correzione è più costosa.</w:t>
            </w:r>
          </w:p>
        </w:tc>
      </w:tr>
      <w:tr>
        <w:tc>
          <w:tcPr>
            <w:tcW w:type="dxa" w:w="4513"/>
            <w:tcBorders>
              <w:top w:val="single" w:color="CCCCCC" w:sz="1"/>
              <w:left w:val="single" w:color="CCCCCC" w:sz="1"/>
              <w:bottom w:val="single" w:color="CCCCCC" w:sz="1"/>
              <w:right w:val="single" w:color="CCCCCC" w:sz="1"/>
            </w:tcBorders>
            <w:shd w:fill="E6F4EC" w:val="clear"/>
            <w:tcMar>
              <w:top w:type="dxa" w:w="70"/>
              <w:left w:type="dxa" w:w="120"/>
              <w:bottom w:type="dxa" w:w="70"/>
              <w:right w:type="dxa" w:w="80"/>
            </w:tcMar>
          </w:tcPr>
          <w:p>
            <w:pPr>
              <w:jc w:val="both"/>
            </w:pPr>
            <w:r>
              <w:rPr>
                <w:rFonts w:ascii="Arial" w:cs="Arial" w:eastAsia="Arial" w:hAnsi="Arial"/>
                <w:color w:val="1A3322"/>
                <w:sz w:val="20"/>
                <w:szCs w:val="20"/>
              </w:rPr>
              <w:t xml:space="preserve">Documentazione completa e verificabile. Ogni fase produce documentazione formale, essenziale per audit di conformità, tracciabilità, onboarding di nuovi membri del team e trasferimento di know-how.</w:t>
            </w:r>
          </w:p>
        </w:tc>
        <w:tc>
          <w:tcPr>
            <w:tcW w:type="dxa" w:w="4513"/>
            <w:tcBorders>
              <w:top w:val="single" w:color="CCCCCC" w:sz="1"/>
              <w:left w:val="single" w:color="CCCCCC" w:sz="1"/>
              <w:bottom w:val="single" w:color="CCCCCC" w:sz="1"/>
              <w:right w:val="single" w:color="CCCCCC" w:sz="1"/>
            </w:tcBorders>
            <w:shd w:fill="FDEAEA" w:val="clear"/>
            <w:tcMar>
              <w:top w:type="dxa" w:w="70"/>
              <w:left w:type="dxa" w:w="120"/>
              <w:bottom w:type="dxa" w:w="70"/>
              <w:right w:type="dxa" w:w="80"/>
            </w:tcMar>
          </w:tcPr>
          <w:p>
            <w:pPr>
              <w:jc w:val="both"/>
            </w:pPr>
            <w:r>
              <w:rPr>
                <w:rFonts w:ascii="Arial" w:cs="Arial" w:eastAsia="Arial" w:hAnsi="Arial"/>
                <w:color w:val="6B1A1A"/>
                <w:sz w:val="20"/>
                <w:szCs w:val="20"/>
              </w:rPr>
              <w:t xml:space="preserve">Assunzione di requisiti stabili. Il modello presuppone che tutti i requisiti siano noti e stabili all'avvio. In contesti con requisiti evolutivi, questa assunzione porta a scope creep o a prodotti non aderenti alle reali esigenze.</w:t>
            </w:r>
          </w:p>
        </w:tc>
      </w:tr>
      <w:tr>
        <w:tc>
          <w:tcPr>
            <w:tcW w:type="dxa" w:w="4513"/>
            <w:tcBorders>
              <w:top w:val="single" w:color="CCCCCC" w:sz="1"/>
              <w:left w:val="single" w:color="CCCCCC" w:sz="1"/>
              <w:bottom w:val="single" w:color="CCCCCC" w:sz="1"/>
              <w:right w:val="single" w:color="CCCCCC" w:sz="1"/>
            </w:tcBorders>
            <w:shd w:fill="F0FAF4" w:val="clear"/>
            <w:tcMar>
              <w:top w:type="dxa" w:w="70"/>
              <w:left w:type="dxa" w:w="120"/>
              <w:bottom w:type="dxa" w:w="70"/>
              <w:right w:type="dxa" w:w="80"/>
            </w:tcMar>
          </w:tcPr>
          <w:p>
            <w:pPr>
              <w:jc w:val="both"/>
            </w:pPr>
            <w:r>
              <w:rPr>
                <w:rFonts w:ascii="Arial" w:cs="Arial" w:eastAsia="Arial" w:hAnsi="Arial"/>
                <w:color w:val="1A3322"/>
                <w:sz w:val="20"/>
                <w:szCs w:val="20"/>
              </w:rPr>
              <w:t xml:space="preserve">Adatto a requisiti normativi e regolatori. In settori come aerospace, difesa, sanità, costruzioni e finanza, il waterfall fornisce l'audit trail e la governance procedurale richieste dalla normativa.</w:t>
            </w:r>
          </w:p>
        </w:tc>
        <w:tc>
          <w:tcPr>
            <w:tcW w:type="dxa" w:w="4513"/>
            <w:tcBorders>
              <w:top w:val="single" w:color="CCCCCC" w:sz="1"/>
              <w:left w:val="single" w:color="CCCCCC" w:sz="1"/>
              <w:bottom w:val="single" w:color="CCCCCC" w:sz="1"/>
              <w:right w:val="single" w:color="CCCCCC" w:sz="1"/>
            </w:tcBorders>
            <w:shd w:fill="FFF0F0" w:val="clear"/>
            <w:tcMar>
              <w:top w:type="dxa" w:w="70"/>
              <w:left w:type="dxa" w:w="120"/>
              <w:bottom w:type="dxa" w:w="70"/>
              <w:right w:type="dxa" w:w="80"/>
            </w:tcMar>
          </w:tcPr>
          <w:p>
            <w:pPr>
              <w:jc w:val="both"/>
            </w:pPr>
            <w:r>
              <w:rPr>
                <w:rFonts w:ascii="Arial" w:cs="Arial" w:eastAsia="Arial" w:hAnsi="Arial"/>
                <w:color w:val="6B1A1A"/>
                <w:sz w:val="20"/>
                <w:szCs w:val="20"/>
              </w:rPr>
              <w:t xml:space="preserve">Limitato coinvolgimento del cliente durante l'esecuzione. Il cliente interagisce principalmente all'inizio (requisiti) e alla fine (collaudo), riducendo le opportunità di correzione del tiro in corso d'opera.</w:t>
            </w:r>
          </w:p>
        </w:tc>
      </w:tr>
      <w:tr>
        <w:tc>
          <w:tcPr>
            <w:tcW w:type="dxa" w:w="4513"/>
            <w:tcBorders>
              <w:top w:val="single" w:color="CCCCCC" w:sz="1"/>
              <w:left w:val="single" w:color="CCCCCC" w:sz="1"/>
              <w:bottom w:val="single" w:color="CCCCCC" w:sz="1"/>
              <w:right w:val="single" w:color="CCCCCC" w:sz="1"/>
            </w:tcBorders>
            <w:shd w:fill="E6F4EC" w:val="clear"/>
            <w:tcMar>
              <w:top w:type="dxa" w:w="70"/>
              <w:left w:type="dxa" w:w="120"/>
              <w:bottom w:type="dxa" w:w="70"/>
              <w:right w:type="dxa" w:w="80"/>
            </w:tcMar>
          </w:tcPr>
          <w:p>
            <w:pPr>
              <w:jc w:val="both"/>
            </w:pPr>
            <w:r>
              <w:rPr>
                <w:rFonts w:ascii="Arial" w:cs="Arial" w:eastAsia="Arial" w:hAnsi="Arial"/>
                <w:color w:val="1A3322"/>
                <w:sz w:val="20"/>
                <w:szCs w:val="20"/>
              </w:rPr>
              <w:t xml:space="preserve">Gestione delle dipendenze tecniache. L'architettura sequenziale è naturale per progetti con forte interdipendenza tecnica tra fasi, dove il completamento di una è prerequisito fisico della successiva.</w:t>
            </w:r>
          </w:p>
        </w:tc>
        <w:tc>
          <w:tcPr>
            <w:tcW w:type="dxa" w:w="4513"/>
            <w:tcBorders>
              <w:top w:val="single" w:color="CCCCCC" w:sz="1"/>
              <w:left w:val="single" w:color="CCCCCC" w:sz="1"/>
              <w:bottom w:val="single" w:color="CCCCCC" w:sz="1"/>
              <w:right w:val="single" w:color="CCCCCC" w:sz="1"/>
            </w:tcBorders>
            <w:shd w:fill="FDEAEA" w:val="clear"/>
            <w:tcMar>
              <w:top w:type="dxa" w:w="70"/>
              <w:left w:type="dxa" w:w="120"/>
              <w:bottom w:type="dxa" w:w="70"/>
              <w:right w:type="dxa" w:w="80"/>
            </w:tcMar>
          </w:tcPr>
          <w:p>
            <w:pPr>
              <w:jc w:val="both"/>
            </w:pPr>
            <w:r>
              <w:rPr>
                <w:rFonts w:ascii="Arial" w:cs="Arial" w:eastAsia="Arial" w:hAnsi="Arial"/>
                <w:color w:val="6B1A1A"/>
                <w:sz w:val="20"/>
                <w:szCs w:val="20"/>
              </w:rPr>
              <w:t xml:space="preserve">Rischio di prodotto obsoleto. In mercati o contesti normativi in rapida evoluzione, le specifiche definite all'avvio possono non essere più attuali al momento della consegna, soprattutto in progetti di lunga durata.</w:t>
            </w:r>
          </w:p>
        </w:tc>
      </w:tr>
    </w:tbl>
    <w:p>
      <w:pPr>
        <w:spacing w:after="200" w:before="60"/>
        <w:jc w:val="center"/>
      </w:pPr>
      <w:r>
        <w:rPr>
          <w:rFonts w:ascii="Arial" w:cs="Arial" w:eastAsia="Arial" w:hAnsi="Arial"/>
          <w:i/>
          <w:iCs/>
          <w:color w:val="555555"/>
          <w:sz w:val="22"/>
          <w:szCs w:val="22"/>
        </w:rPr>
        <w:t xml:space="preserve">Tabella 2 — Vantaggi e limiti del modello waterfall. Elaborazione da Samaratova (2024) e Petersen et al. (2009).</w:t>
      </w:r>
    </w:p>
    <w:p>
      <w:pPr>
        <w:spacing w:after="60" w:before="60"/>
      </w:pPr>
    </w:p>
    <w:p>
      <w:pPr>
        <w:pStyle w:val="Heading2"/>
        <w:spacing w:after="120" w:before="280"/>
      </w:pPr>
      <w:r>
        <w:rPr>
          <w:rFonts w:ascii="Arial" w:cs="Arial" w:eastAsia="Arial" w:hAnsi="Arial"/>
          <w:b/>
          <w:bCs/>
          <w:color w:val="2E75B6"/>
          <w:sz w:val="26"/>
          <w:szCs w:val="26"/>
        </w:rPr>
        <w:t xml:space="preserve">1.4 Evidenze Empiriche: il Case Study Ericsson AB</w:t>
      </w:r>
    </w:p>
    <w:p>
      <w:pPr>
        <w:spacing w:after="110" w:before="110" w:line="288" w:lineRule="auto"/>
        <w:jc w:val="both"/>
      </w:pPr>
      <w:r>
        <w:rPr>
          <w:rFonts w:ascii="Arial" w:cs="Arial" w:eastAsia="Arial" w:hAnsi="Arial"/>
          <w:color w:val="111111"/>
          <w:sz w:val="24"/>
          <w:szCs w:val="24"/>
        </w:rPr>
        <w:t xml:space="preserve">Il contributo più significativo sul piano empirico è lo studio di </w:t>
      </w:r>
      <w:r>
        <w:rPr>
          <w:rFonts w:ascii="Arial" w:cs="Arial" w:eastAsia="Arial" w:hAnsi="Arial"/>
          <w:b/>
          <w:bCs/>
          <w:sz w:val="24"/>
          <w:szCs w:val="24"/>
        </w:rPr>
        <w:t xml:space="preserve">Petersen, Wohlin e Baca (2009)</w:t>
      </w:r>
      <w:r>
        <w:rPr>
          <w:rFonts w:ascii="Arial" w:cs="Arial" w:eastAsia="Arial" w:hAnsi="Arial"/>
          <w:color w:val="111111"/>
          <w:sz w:val="24"/>
          <w:szCs w:val="24"/>
        </w:rPr>
        <w:t xml:space="preserve">, condotto presso un sito di sviluppo software di Ericsson AB in Svezia, dove il modello waterfall era stato applicato per diversi anni nello sviluppo su larga scala. Lo studio aveva come obiettivo validare o confutare le credenze diffuse sui problemi del waterfall attraverso dati raccolti con interviste e analisi quantitative.</w:t>
      </w:r>
      <w:r>
        <w:rPr>
          <w:rFonts w:ascii="Arial" w:cs="Arial" w:eastAsia="Arial" w:hAnsi="Arial"/>
          <w:b/>
          <w:bCs/>
          <w:color w:val="2E75B6"/>
          <w:sz w:val="21"/>
          <w:szCs w:val="21"/>
        </w:rPr>
        <w:t xml:space="preserve"> [Petersen et al., 2009]</w:t>
      </w:r>
    </w:p>
    <w:p>
      <w:pPr>
        <w:spacing w:after="110" w:before="110" w:line="288" w:lineRule="auto"/>
        <w:jc w:val="both"/>
      </w:pPr>
      <w:r>
        <w:rPr>
          <w:rFonts w:ascii="Arial" w:cs="Arial" w:eastAsia="Arial" w:hAnsi="Arial"/>
          <w:color w:val="111111"/>
          <w:sz w:val="24"/>
          <w:szCs w:val="24"/>
        </w:rPr>
        <w:t xml:space="preserve">I risultati principali dello studio confermano alcune delle criticità teoriche attribuite al waterfall, ma con importanti sfumature. Il problema più significativo identificato riguarda la gestione dei requisiti: il 41% del lead-time complessivo viene consumato nella sola fase di requirements engineering, e la dimensione elevata dello scope — tipica dello sviluppo su larga scala — rende difficile mantenere la stabilità dei requisiti lungo tutta la durata del progetto. La conseguenza è che una quota rilevante dei requisiti deve essere rielaborata o scartata durante lo sviluppo.</w:t>
      </w:r>
    </w:p>
    <w:p>
      <w:pPr>
        <w:spacing w:after="110" w:before="110" w:line="288" w:lineRule="auto"/>
        <w:jc w:val="both"/>
      </w:pPr>
      <w:r>
        <w:rPr>
          <w:rFonts w:ascii="Arial" w:cs="Arial" w:eastAsia="Arial" w:hAnsi="Arial"/>
          <w:color w:val="111111"/>
          <w:sz w:val="24"/>
          <w:szCs w:val="24"/>
        </w:rPr>
        <w:t xml:space="preserve">Lo studio identifica come secondo problema critico il </w:t>
      </w:r>
      <w:r>
        <w:rPr>
          <w:rFonts w:ascii="Arial" w:cs="Arial" w:eastAsia="Arial" w:hAnsi="Arial"/>
          <w:b/>
          <w:bCs/>
          <w:sz w:val="24"/>
          <w:szCs w:val="24"/>
        </w:rPr>
        <w:t xml:space="preserve">testing tardivo</w:t>
      </w:r>
      <w:r>
        <w:rPr>
          <w:rFonts w:ascii="Arial" w:cs="Arial" w:eastAsia="Arial" w:hAnsi="Arial"/>
          <w:color w:val="111111"/>
          <w:sz w:val="24"/>
          <w:szCs w:val="24"/>
        </w:rPr>
        <w:t xml:space="preserve">: verificare l'intero sistema solo alla fine del progetto porta a un accumulo di difetti che diventano più complessi e costosi da correggere. Le analisi quantitative mostrano che la quantità di difetti trovati cresce con il ritardo nella verifica, confermando empiricamente la teoria dei costi di correzione differenziale.</w:t>
      </w:r>
      <w:r>
        <w:rPr>
          <w:rFonts w:ascii="Arial" w:cs="Arial" w:eastAsia="Arial" w:hAnsi="Arial"/>
          <w:b/>
          <w:bCs/>
          <w:color w:val="2E75B6"/>
          <w:sz w:val="21"/>
          <w:szCs w:val="21"/>
        </w:rPr>
        <w:t xml:space="preserve"> [Petersen et al., 2009]</w:t>
      </w:r>
    </w:p>
    <w:p>
      <w:pPr>
        <w:spacing w:after="110" w:before="110" w:line="288" w:lineRule="auto"/>
        <w:jc w:val="both"/>
      </w:pPr>
      <w:r>
        <w:rPr>
          <w:rFonts w:ascii="Arial" w:cs="Arial" w:eastAsia="Arial" w:hAnsi="Arial"/>
          <w:color w:val="111111"/>
          <w:sz w:val="24"/>
          <w:szCs w:val="24"/>
        </w:rPr>
        <w:t xml:space="preserve">Un aspetto metodologicamente rilevante dello studio è la sua conclusione sulla relazione tra i problemi identificati e il contesto specifico di applicazione. I ricercatori osservano che il waterfall non è intrinsecamente inadeguato come modello, ma che le sue criticità dipendono fortemente dal contesto: in mercati dinamici con requisiti in rapida evoluzione e scala elevata di sviluppo, le sue limitazioni strutturali diventano penalizzanti. In contesti con requisiti stabili, team omogenei e scope controllabile, molte delle criticità teoriche non si manifestano con la stessa intensità.</w:t>
      </w:r>
    </w:p>
    <w:p>
      <w:pPr>
        <w:spacing w:after="60" w:before="60"/>
      </w:pPr>
    </w:p>
    <w:p>
      <w:pPr>
        <w:pStyle w:val="Heading2"/>
        <w:spacing w:after="120" w:before="280"/>
      </w:pPr>
      <w:r>
        <w:rPr>
          <w:rFonts w:ascii="Arial" w:cs="Arial" w:eastAsia="Arial" w:hAnsi="Arial"/>
          <w:b/>
          <w:bCs/>
          <w:color w:val="2E75B6"/>
          <w:sz w:val="26"/>
          <w:szCs w:val="26"/>
        </w:rPr>
        <w:t xml:space="preserve">1.5 Ambiti di Applicazione Privilegiati</w:t>
      </w:r>
    </w:p>
    <w:p>
      <w:pPr>
        <w:spacing w:after="110" w:before="110" w:line="288" w:lineRule="auto"/>
        <w:jc w:val="both"/>
      </w:pPr>
      <w:r>
        <w:rPr>
          <w:rFonts w:ascii="Arial" w:cs="Arial" w:eastAsia="Arial" w:hAnsi="Arial"/>
          <w:color w:val="111111"/>
          <w:sz w:val="24"/>
          <w:szCs w:val="24"/>
        </w:rPr>
        <w:t xml:space="preserve">Nonostante le critiche ricevute nell'industria del software, il modello waterfall mantiene una solida rilevanza in specifici settori industriali. La chiave è la corrispondenza tra le caratteristiche strutturali del modello e quelle del contesto di progetto.</w:t>
      </w:r>
    </w:p>
    <w:p>
      <w:pPr>
        <w:spacing w:after="110" w:before="110" w:line="288" w:lineRule="auto"/>
        <w:jc w:val="both"/>
      </w:pPr>
      <w:r>
        <w:rPr>
          <w:rFonts w:ascii="Arial" w:cs="Arial" w:eastAsia="Arial" w:hAnsi="Arial"/>
          <w:color w:val="111111"/>
          <w:sz w:val="24"/>
          <w:szCs w:val="24"/>
        </w:rPr>
        <w:t xml:space="preserve">Samaratova (2024) identifica tre macro-ambiti in cui il waterfall trova la sua collocazione ottimale:</w:t>
      </w:r>
      <w:r>
        <w:rPr>
          <w:rFonts w:ascii="Arial" w:cs="Arial" w:eastAsia="Arial" w:hAnsi="Arial"/>
          <w:b/>
          <w:bCs/>
          <w:color w:val="2E75B6"/>
          <w:sz w:val="21"/>
          <w:szCs w:val="21"/>
        </w:rPr>
        <w:t xml:space="preserve"> [Samaratova, 2024]</w:t>
      </w:r>
    </w:p>
    <w:p>
      <w:pPr>
        <w:spacing w:after="20" w:before="40"/>
      </w:pPr>
    </w:p>
    <w:p>
      <w:pPr>
        <w:pStyle w:val="ListParagraph"/>
        <w:numPr>
          <w:ilvl w:val="0"/>
          <w:numId w:val="2"/>
        </w:numPr>
        <w:spacing w:after="60" w:before="60" w:line="276" w:lineRule="auto"/>
      </w:pPr>
      <w:r>
        <w:rPr>
          <w:rFonts w:ascii="Arial" w:cs="Arial" w:eastAsia="Arial" w:hAnsi="Arial"/>
          <w:b/>
          <w:bCs/>
          <w:sz w:val="24"/>
          <w:szCs w:val="24"/>
        </w:rPr>
        <w:t xml:space="preserve">Settore delle costruzioni e delle infrastrutture: </w:t>
      </w:r>
      <w:r>
        <w:rPr>
          <w:rFonts w:ascii="Arial" w:cs="Arial" w:eastAsia="Arial" w:hAnsi="Arial"/>
          <w:color w:val="111111"/>
          <w:sz w:val="24"/>
          <w:szCs w:val="24"/>
        </w:rPr>
        <w:t xml:space="preserve">la sequenzialità fisica dei processi costruttivi è intrinsecamente waterfall — non è possibile realizzare la struttura prima delle fondamenta, né gli impianti prima dei muri perimetrali. La rigidità del modello diventa qui un vantaggio, non un limite: allinea la metodologia gestionale con la realtà tecnica del cantiere. Le modifiche in corso d'opera sono costose per definizione fisica, non per un'imposizione metodologica.</w:t>
      </w:r>
      <w:r>
        <w:rPr>
          <w:rFonts w:ascii="Arial" w:cs="Arial" w:eastAsia="Arial" w:hAnsi="Arial"/>
          <w:b/>
          <w:bCs/>
          <w:color w:val="2E75B6"/>
          <w:sz w:val="21"/>
          <w:szCs w:val="21"/>
        </w:rPr>
        <w:t xml:space="preserve"> [Samaratova, 2024]</w:t>
      </w:r>
    </w:p>
    <w:p>
      <w:pPr>
        <w:pStyle w:val="ListParagraph"/>
        <w:numPr>
          <w:ilvl w:val="0"/>
          <w:numId w:val="2"/>
        </w:numPr>
        <w:spacing w:after="60" w:before="60" w:line="276" w:lineRule="auto"/>
      </w:pPr>
      <w:r>
        <w:rPr>
          <w:rFonts w:ascii="Arial" w:cs="Arial" w:eastAsia="Arial" w:hAnsi="Arial"/>
          <w:b/>
          <w:bCs/>
          <w:sz w:val="24"/>
          <w:szCs w:val="24"/>
        </w:rPr>
        <w:t xml:space="preserve">Settore aerospaziale e difesa: </w:t>
      </w:r>
      <w:r>
        <w:rPr>
          <w:rFonts w:ascii="Arial" w:cs="Arial" w:eastAsia="Arial" w:hAnsi="Arial"/>
          <w:color w:val="111111"/>
          <w:sz w:val="24"/>
          <w:szCs w:val="24"/>
        </w:rPr>
        <w:t xml:space="preserve">progetti caratterizzati da requisiti rigorosi, documentazione di conformità obbligatoria, vincoli normativi stringenti e criticità operativa elevata. In questi contesti, l'audit trail completo prodotto dal waterfall e la tracciabilità dei requisiti sono requisiti non negoziabili.</w:t>
      </w:r>
      <w:r>
        <w:rPr>
          <w:rFonts w:ascii="Arial" w:cs="Arial" w:eastAsia="Arial" w:hAnsi="Arial"/>
          <w:b/>
          <w:bCs/>
          <w:color w:val="2E75B6"/>
          <w:sz w:val="21"/>
          <w:szCs w:val="21"/>
        </w:rPr>
        <w:t xml:space="preserve"> [Samaratova, 2024]</w:t>
      </w:r>
    </w:p>
    <w:p>
      <w:pPr>
        <w:pStyle w:val="ListParagraph"/>
        <w:numPr>
          <w:ilvl w:val="0"/>
          <w:numId w:val="2"/>
        </w:numPr>
        <w:spacing w:after="60" w:before="60" w:line="276" w:lineRule="auto"/>
      </w:pPr>
      <w:r>
        <w:rPr>
          <w:rFonts w:ascii="Arial" w:cs="Arial" w:eastAsia="Arial" w:hAnsi="Arial"/>
          <w:b/>
          <w:bCs/>
          <w:sz w:val="24"/>
          <w:szCs w:val="24"/>
        </w:rPr>
        <w:t xml:space="preserve">Appalti pubblici e governo: </w:t>
      </w:r>
      <w:r>
        <w:rPr>
          <w:rFonts w:ascii="Arial" w:cs="Arial" w:eastAsia="Arial" w:hAnsi="Arial"/>
          <w:color w:val="111111"/>
          <w:sz w:val="24"/>
          <w:szCs w:val="24"/>
        </w:rPr>
        <w:t xml:space="preserve">il quadro contrattuale e normativo degli appalti pubblici è strutturalmente compatibile con il waterfall: capitolati d'appalto ben definiti, prezzi fissi, milestone vincolanti, obbligo di documentazione. La prevedibilità del modello è funzionale alla governance pubblica e alla responsabilità contabile.</w:t>
      </w:r>
      <w:r>
        <w:rPr>
          <w:rFonts w:ascii="Arial" w:cs="Arial" w:eastAsia="Arial" w:hAnsi="Arial"/>
          <w:b/>
          <w:bCs/>
          <w:color w:val="2E75B6"/>
          <w:sz w:val="21"/>
          <w:szCs w:val="21"/>
        </w:rPr>
        <w:t xml:space="preserve"> [Samaratova, 2024]</w:t>
      </w:r>
    </w:p>
    <w:p>
      <w:pPr>
        <w:spacing w:after="20" w:before="40"/>
      </w:pPr>
    </w:p>
    <w:p>
      <w:pPr>
        <w:spacing w:after="110" w:before="110" w:line="288" w:lineRule="auto"/>
        <w:jc w:val="both"/>
      </w:pPr>
      <w:r>
        <w:rPr>
          <w:rFonts w:ascii="Arial" w:cs="Arial" w:eastAsia="Arial" w:hAnsi="Arial"/>
          <w:color w:val="111111"/>
          <w:sz w:val="24"/>
          <w:szCs w:val="24"/>
        </w:rPr>
        <w:t xml:space="preserve">Samaratova (2024) cita esplicitamente il caso dell'industria dei trasporti studiato da Genzorova et al. (2019), dove il waterfall è stato applicato con successo alla progettazione di un sistema di gestione delle presenze per un'azienda di trasporti, in un contesto con requisiti normativi precisi e processo di sviluppo altamente strutturato. Il modello, in questo caso, </w:t>
      </w:r>
      <w:r>
        <w:rPr>
          <w:rFonts w:ascii="Arial" w:cs="Arial" w:eastAsia="Arial" w:hAnsi="Arial"/>
          <w:b/>
          <w:bCs/>
          <w:sz w:val="24"/>
          <w:szCs w:val="24"/>
        </w:rPr>
        <w:t xml:space="preserve">non è una scelta conservatrice ma la scelta razionalmente ottimale</w:t>
      </w:r>
      <w:r>
        <w:rPr>
          <w:rFonts w:ascii="Arial" w:cs="Arial" w:eastAsia="Arial" w:hAnsi="Arial"/>
          <w:color w:val="111111"/>
          <w:sz w:val="24"/>
          <w:szCs w:val="24"/>
        </w:rPr>
        <w:t xml:space="preserve">, dato il profilo di requisiti e vincoli del progetto.</w:t>
      </w:r>
      <w:r>
        <w:rPr>
          <w:rFonts w:ascii="Arial" w:cs="Arial" w:eastAsia="Arial" w:hAnsi="Arial"/>
          <w:b/>
          <w:bCs/>
          <w:color w:val="2E75B6"/>
          <w:sz w:val="21"/>
          <w:szCs w:val="21"/>
        </w:rPr>
        <w:t xml:space="preserve"> [Samaratova, 2024]</w:t>
      </w:r>
    </w:p>
    <w:p>
      <w:pPr>
        <w:spacing w:after="60" w:before="60"/>
      </w:pPr>
    </w:p>
    <w:p>
      <w:pPr>
        <w:pStyle w:val="Heading2"/>
        <w:spacing w:after="120" w:before="280"/>
      </w:pPr>
      <w:r>
        <w:rPr>
          <w:rFonts w:ascii="Arial" w:cs="Arial" w:eastAsia="Arial" w:hAnsi="Arial"/>
          <w:b/>
          <w:bCs/>
          <w:color w:val="2E75B6"/>
          <w:sz w:val="26"/>
          <w:szCs w:val="26"/>
        </w:rPr>
        <w:t xml:space="preserve">1.6 Il Waterfall nelle Costruzioni: un Caso di Affinità Strutturale</w:t>
      </w:r>
    </w:p>
    <w:p>
      <w:pPr>
        <w:spacing w:after="110" w:before="110" w:line="288" w:lineRule="auto"/>
        <w:jc w:val="both"/>
      </w:pPr>
      <w:r>
        <w:rPr>
          <w:rFonts w:ascii="Arial" w:cs="Arial" w:eastAsia="Arial" w:hAnsi="Arial"/>
          <w:color w:val="111111"/>
          <w:sz w:val="24"/>
          <w:szCs w:val="24"/>
        </w:rPr>
        <w:t xml:space="preserve">Nel settore edilizio e delle opere civili, il modello waterfall non è semplicemente una scelta metodologica: è un riflesso della struttura ontologica del processo costruttivo. La costruzione di un edificio segue necessariamente una sequenza vincolata da dipendenze fisiche e tecniche: progettazione architettonica, progettazione strutturale, autorizzazioni, fondamenta, struttura portante, tamponamenti, impianti, finiture. Ogni elemento successivo dipende dal completamento di quello precedente in modo non reversibile.</w:t>
      </w:r>
    </w:p>
    <w:p>
      <w:pPr>
        <w:spacing w:after="110" w:before="110" w:line="288" w:lineRule="auto"/>
        <w:jc w:val="both"/>
      </w:pPr>
      <w:r>
        <w:rPr>
          <w:rFonts w:ascii="Arial" w:cs="Arial" w:eastAsia="Arial" w:hAnsi="Arial"/>
          <w:color w:val="111111"/>
          <w:sz w:val="24"/>
          <w:szCs w:val="24"/>
        </w:rPr>
        <w:t xml:space="preserve">Questa natura sequenziale presenta parallelismi diretti con la struttura a fasi del waterfall. Come osserva Samaratova (2024), </w:t>
      </w:r>
      <w:r>
        <w:rPr>
          <w:rFonts w:ascii="Arial" w:cs="Arial" w:eastAsia="Arial" w:hAnsi="Arial"/>
          <w:color w:val="111111"/>
          <w:sz w:val="24"/>
          <w:szCs w:val="24"/>
        </w:rPr>
        <w:t xml:space="preserve">"poiché apportare modifiche dopo l'inizio della costruzione è costoso e richiede tempo, la struttura rigida del waterfall offre chiari vantaggi, garantendo che tutti i requisiti siano concordati prima che abbia inizio il lavoro costruttivo vero e proprio"</w:t>
      </w:r>
      <w:r>
        <w:rPr>
          <w:rFonts w:ascii="Arial" w:cs="Arial" w:eastAsia="Arial" w:hAnsi="Arial"/>
          <w:color w:val="111111"/>
          <w:sz w:val="24"/>
          <w:szCs w:val="24"/>
        </w:rPr>
        <w:t xml:space="preserve">. Il costo delle modifiche nelle costruzioni è una proprietà fisica del processo, non un'imposizione metodologica: un pilastro spostato vale mesi di lavoro e centinaia di migliaia di euro.</w:t>
      </w:r>
      <w:r>
        <w:rPr>
          <w:rFonts w:ascii="Arial" w:cs="Arial" w:eastAsia="Arial" w:hAnsi="Arial"/>
          <w:b/>
          <w:bCs/>
          <w:color w:val="2E75B6"/>
          <w:sz w:val="21"/>
          <w:szCs w:val="21"/>
        </w:rPr>
        <w:t xml:space="preserve"> [Samaratova, 2024]</w:t>
      </w:r>
    </w:p>
    <w:p>
      <w:pPr>
        <w:spacing w:after="110" w:before="110" w:line="288" w:lineRule="auto"/>
        <w:jc w:val="both"/>
      </w:pPr>
      <w:r>
        <w:rPr>
          <w:rFonts w:ascii="Arial" w:cs="Arial" w:eastAsia="Arial" w:hAnsi="Arial"/>
          <w:color w:val="111111"/>
          <w:sz w:val="24"/>
          <w:szCs w:val="24"/>
        </w:rPr>
        <w:t xml:space="preserve">Al tempo stesso, i limiti del waterfall si manifestano anche in cantiere, seppur con caratteristiche diverse rispetto al software. Il caso Ericsson studiato da Petersen et al. (2009) descrive una situazione dove la distanza tra chi definisce i requisiti e chi li esegue — aggravata da team numerosi e scope estesi — produce rielaborazioni continue. Questo pattern ha un'immediata corrispondenza nella prassi costruttiva: la separazione tra progettazione ed esecuzione (tipica del metodo design-bid-build) genera spesso conflitti interpretativi, varianti progettuali in corso d'opera e contenziosi, esattamente il tipo di problema che il testing tardivo produce nel software.</w:t>
      </w:r>
    </w:p>
    <w:p>
      <w:pPr>
        <w:spacing w:after="110" w:before="110" w:line="288" w:lineRule="auto"/>
        <w:jc w:val="both"/>
      </w:pPr>
      <w:r>
        <w:rPr>
          <w:rFonts w:ascii="Arial" w:cs="Arial" w:eastAsia="Arial" w:hAnsi="Arial"/>
          <w:color w:val="111111"/>
          <w:sz w:val="24"/>
          <w:szCs w:val="24"/>
        </w:rPr>
        <w:t xml:space="preserve">È questa tensione strutturale — tra la sequenzialità inevitabile dei processi fisici e la variabilità intrinseca dei cantieri complessi — che ha motivato la ricerca di approcci ibridi e l'interesse crescente per l'applicazione selettiva di principi agile nella gestione delle costruzioni. Come argomenteremo nel capitolo successivo, </w:t>
      </w:r>
      <w:r>
        <w:rPr>
          <w:rFonts w:ascii="Arial" w:cs="Arial" w:eastAsia="Arial" w:hAnsi="Arial"/>
          <w:b/>
          <w:bCs/>
          <w:sz w:val="24"/>
          <w:szCs w:val="24"/>
        </w:rPr>
        <w:t xml:space="preserve">la risposta non è abbandonare il waterfall nelle costruzioni</w:t>
      </w:r>
      <w:r>
        <w:rPr>
          <w:rFonts w:ascii="Arial" w:cs="Arial" w:eastAsia="Arial" w:hAnsi="Arial"/>
          <w:color w:val="111111"/>
          <w:sz w:val="24"/>
          <w:szCs w:val="24"/>
        </w:rPr>
        <w:t xml:space="preserve">, ma integrarlo con meccanismi di feedback e adattamento che ne correggano i limiti più critici senza comprometterne i punti di forza.</w:t>
      </w:r>
      <w:r>
        <w:rPr>
          <w:rFonts w:ascii="Arial" w:cs="Arial" w:eastAsia="Arial" w:hAnsi="Arial"/>
          <w:b/>
          <w:bCs/>
          <w:color w:val="2E75B6"/>
          <w:sz w:val="21"/>
          <w:szCs w:val="21"/>
        </w:rPr>
        <w:t xml:space="preserve"> [Petersen et al., 2009]</w:t>
      </w:r>
    </w:p>
    <w:p>
      <w:pPr>
        <w:spacing w:after="6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3"/>
              <w:left w:val="single" w:color="D4A017" w:sz="3"/>
              <w:bottom w:val="single" w:color="D4A017" w:sz="3"/>
              <w:right w:val="single" w:color="D4A017" w:sz="3"/>
            </w:tcBorders>
            <w:shd w:fill="FEF9E7" w:val="clear"/>
            <w:tcMar>
              <w:top w:type="dxa" w:w="140"/>
              <w:left w:type="dxa" w:w="240"/>
              <w:bottom w:type="dxa" w:w="140"/>
              <w:right w:type="dxa" w:w="200"/>
            </w:tcMar>
          </w:tcPr>
          <w:p>
            <w:pPr>
              <w:spacing w:after="80" w:before="0" w:line="276" w:lineRule="auto"/>
              <w:jc w:val="both"/>
            </w:pPr>
            <w:r>
              <w:rPr>
                <w:rFonts w:ascii="Arial" w:cs="Arial" w:eastAsia="Arial" w:hAnsi="Arial"/>
                <w:b/>
                <w:bCs/>
                <w:color w:val="7D5A00"/>
                <w:sz w:val="22"/>
                <w:szCs w:val="22"/>
              </w:rPr>
              <w:t xml:space="preserve">Sintesi: quando il waterfall è la scelta razionale</w:t>
            </w:r>
          </w:p>
          <w:p>
            <w:pPr>
              <w:spacing w:after="60" w:before="60" w:line="276" w:lineRule="auto"/>
              <w:jc w:val="both"/>
            </w:pPr>
            <w:r>
              <w:rPr>
                <w:rFonts w:ascii="Arial" w:cs="Arial" w:eastAsia="Arial" w:hAnsi="Arial"/>
                <w:b/>
                <w:bCs/>
                <w:color w:val="7D5A00"/>
                <w:sz w:val="24"/>
                <w:szCs w:val="24"/>
              </w:rPr>
              <w:t xml:space="preserve">Requisiti stabili e definibili upfront: </w:t>
            </w:r>
            <w:r>
              <w:rPr>
                <w:rFonts w:ascii="Arial" w:cs="Arial" w:eastAsia="Arial" w:hAnsi="Arial"/>
                <w:color w:val="111111"/>
                <w:sz w:val="24"/>
                <w:szCs w:val="24"/>
              </w:rPr>
              <w:t xml:space="preserve">il modello funziona ottimalmente quando le specifiche possono essere acquisite integralmente prima dell'avvio. Il waterfall trasforma la stabilità dei requisiti in efficienza gestionale.</w:t>
            </w:r>
          </w:p>
          <w:p>
            <w:pPr>
              <w:spacing w:after="60" w:before="60" w:line="276" w:lineRule="auto"/>
              <w:jc w:val="both"/>
            </w:pPr>
            <w:r>
              <w:rPr>
                <w:rFonts w:ascii="Arial" w:cs="Arial" w:eastAsia="Arial" w:hAnsi="Arial"/>
                <w:b/>
                <w:bCs/>
                <w:color w:val="7D5A00"/>
                <w:sz w:val="24"/>
                <w:szCs w:val="24"/>
              </w:rPr>
              <w:t xml:space="preserve">Dipendenze tecniche sequenziali: </w:t>
            </w:r>
            <w:r>
              <w:rPr>
                <w:rFonts w:ascii="Arial" w:cs="Arial" w:eastAsia="Arial" w:hAnsi="Arial"/>
                <w:color w:val="111111"/>
                <w:sz w:val="24"/>
                <w:szCs w:val="24"/>
              </w:rPr>
              <w:t xml:space="preserve">in contesti dove la fisica del processo impone l'ordine delle fasi (costruzioni, manifattura, impiantistica), il waterfall è la trascrizione metodologica di una necessità tecnica, non una scelta ideologica.</w:t>
            </w:r>
          </w:p>
          <w:p>
            <w:pPr>
              <w:spacing w:after="60" w:before="60" w:line="276" w:lineRule="auto"/>
              <w:jc w:val="both"/>
            </w:pPr>
            <w:r>
              <w:rPr>
                <w:rFonts w:ascii="Arial" w:cs="Arial" w:eastAsia="Arial" w:hAnsi="Arial"/>
                <w:b/>
                <w:bCs/>
                <w:color w:val="7D5A00"/>
                <w:sz w:val="24"/>
                <w:szCs w:val="24"/>
              </w:rPr>
              <w:t xml:space="preserve">Conformità normativa e documentazione obbligatoria: </w:t>
            </w:r>
            <w:r>
              <w:rPr>
                <w:rFonts w:ascii="Arial" w:cs="Arial" w:eastAsia="Arial" w:hAnsi="Arial"/>
                <w:color w:val="111111"/>
                <w:sz w:val="24"/>
                <w:szCs w:val="24"/>
              </w:rPr>
              <w:t xml:space="preserve">il waterfall produce un audit trail completo a ogni fase, essenziale per settori regolati da norme di sicurezza, appalti pubblici o standard di qualità verificabili.</w:t>
            </w:r>
          </w:p>
          <w:p>
            <w:pPr>
              <w:spacing w:after="60" w:before="60" w:line="276" w:lineRule="auto"/>
              <w:jc w:val="both"/>
            </w:pPr>
            <w:r>
              <w:rPr>
                <w:rFonts w:ascii="Arial" w:cs="Arial" w:eastAsia="Arial" w:hAnsi="Arial"/>
                <w:b/>
                <w:bCs/>
                <w:color w:val="7D5A00"/>
                <w:sz w:val="24"/>
                <w:szCs w:val="24"/>
              </w:rPr>
              <w:t xml:space="preserve">Contratti a prezzo fisso con milestone vincolanti: </w:t>
            </w:r>
            <w:r>
              <w:rPr>
                <w:rFonts w:ascii="Arial" w:cs="Arial" w:eastAsia="Arial" w:hAnsi="Arial"/>
                <w:color w:val="111111"/>
                <w:sz w:val="24"/>
                <w:szCs w:val="24"/>
              </w:rPr>
              <w:t xml:space="preserve">la prevedibilità di tempi e costi del waterfall è funzionale ai modelli contrattuali prevalenti in edilizia e nelle commesse pubbliche.</w:t>
            </w:r>
          </w:p>
          <w:p>
            <w:pPr>
              <w:spacing w:after="0" w:before="60" w:line="276" w:lineRule="auto"/>
              <w:jc w:val="both"/>
            </w:pPr>
            <w:r>
              <w:rPr>
                <w:rFonts w:ascii="Arial" w:cs="Arial" w:eastAsia="Arial" w:hAnsi="Arial"/>
                <w:b/>
                <w:bCs/>
                <w:color w:val="8B1A1A"/>
                <w:sz w:val="24"/>
                <w:szCs w:val="24"/>
              </w:rPr>
              <w:t xml:space="preserve">Limite fondamentale: </w:t>
            </w:r>
            <w:r>
              <w:rPr>
                <w:rFonts w:ascii="Arial" w:cs="Arial" w:eastAsia="Arial" w:hAnsi="Arial"/>
                <w:color w:val="8B1A1A"/>
                <w:sz w:val="24"/>
                <w:szCs w:val="24"/>
              </w:rPr>
              <w:t xml:space="preserve">il modello non gestisce bene la variabilità dei requisiti in corso d'esecuzione. In contesti dove questa variabilità è strutturale — cantieri complessi, mercati in evoluzione, clienti con esigenze non ancora cristallizzate — i suoi limiti superano i vantaggi, rendendo necessari approcci integrativi o ibridi.</w:t>
            </w:r>
          </w:p>
        </w:tc>
      </w:tr>
    </w:tbl>
    <w:p>
      <w:pPr>
        <w:spacing w:after="80" w:before="120"/>
      </w:pPr>
    </w:p>
    <w:p>
      <w:pPr>
        <w:spacing w:after="60" w:before="300"/>
      </w:pPr>
      <w:r>
        <w:rPr>
          <w:rFonts w:ascii="Arial" w:cs="Arial" w:eastAsia="Arial" w:hAnsi="Arial"/>
          <w:b/>
          <w:bCs/>
          <w:color w:val="444444"/>
          <w:sz w:val="21"/>
          <w:szCs w:val="21"/>
        </w:rPr>
        <w:t xml:space="preserve">Riferimenti bibliografici del capitolo</w:t>
      </w:r>
    </w:p>
    <w:p>
      <w:pPr>
        <w:spacing w:after="40" w:before="40"/>
      </w:pPr>
      <w:r>
        <w:rPr>
          <w:rFonts w:ascii="Arial" w:cs="Arial" w:eastAsia="Arial" w:hAnsi="Arial"/>
          <w:color w:val="333333"/>
          <w:sz w:val="20"/>
          <w:szCs w:val="20"/>
        </w:rPr>
        <w:t xml:space="preserve">Petersen, K., Wohlin, C., Baca, D. (2009). The Waterfall Model in Large-Scale Development. In: Bomarius F. et al. (Eds.), PROFES 2009, LNBIP 32, pp. 386–400. Springer-Verlag Berlin Heidelberg. https://doi.org/10.1007/978-3-642-02152-7_29</w:t>
      </w:r>
    </w:p>
    <w:p>
      <w:pPr>
        <w:spacing w:after="40" w:before="40"/>
      </w:pPr>
      <w:r>
        <w:rPr>
          <w:rFonts w:ascii="Arial" w:cs="Arial" w:eastAsia="Arial" w:hAnsi="Arial"/>
          <w:color w:val="333333"/>
          <w:sz w:val="20"/>
          <w:szCs w:val="20"/>
        </w:rPr>
        <w:t xml:space="preserve">Samaratova, A.K. (2024). Features of Using Waterfall Methodologies in Project Management. Astana IT University. Vestnik, 10(79), pp. 39–48.</w:t>
      </w:r>
    </w:p>
    <w:p>
      <w:pPr>
        <w:spacing w:after="40" w:before="40"/>
      </w:pPr>
      <w:r>
        <w:rPr>
          <w:rFonts w:ascii="Arial" w:cs="Arial" w:eastAsia="Arial" w:hAnsi="Arial"/>
          <w:color w:val="333333"/>
          <w:sz w:val="20"/>
          <w:szCs w:val="20"/>
        </w:rPr>
        <w:t xml:space="preserve">Royce, W.W. (1970). Managing the Development of Large Software Systems. Proceedings of IEEE WESCON 26 (August): 1–9.</w:t>
      </w:r>
    </w:p>
    <w:p>
      <w:pPr>
        <w:spacing w:after="40" w:before="40"/>
      </w:pPr>
      <w:r>
        <w:rPr>
          <w:rFonts w:ascii="Arial" w:cs="Arial" w:eastAsia="Arial" w:hAnsi="Arial"/>
          <w:color w:val="333333"/>
          <w:sz w:val="20"/>
          <w:szCs w:val="20"/>
        </w:rPr>
        <w:t xml:space="preserve">Thesing, T., Feldmann, C., Burchardt, M. (2021). Agile versus Waterfall Project Management: Decision Model for Selecting the Appropriate Approach to a Project. Procedia Computer Science, 181, 746–756.</w:t>
      </w:r>
    </w:p>
    <w:p>
      <w:pPr>
        <w:spacing w:after="40" w:before="40"/>
      </w:pPr>
      <w:r>
        <w:rPr>
          <w:rFonts w:ascii="Arial" w:cs="Arial" w:eastAsia="Arial" w:hAnsi="Arial"/>
          <w:color w:val="333333"/>
          <w:sz w:val="20"/>
          <w:szCs w:val="20"/>
        </w:rPr>
        <w:t xml:space="preserve">Project Management Institute — PMI (2017). A Guide to the Project Management Body of Knowledge (PMBOK Guide), 6th edition. PMI, Newtown Square, PA.</w:t>
      </w:r>
    </w:p>
    <w:p>
      <w:pPr>
        <w:spacing w:after="40" w:before="40"/>
      </w:pPr>
      <w:r>
        <w:rPr>
          <w:rFonts w:ascii="Arial" w:cs="Arial" w:eastAsia="Arial" w:hAnsi="Arial"/>
          <w:color w:val="333333"/>
          <w:sz w:val="20"/>
          <w:szCs w:val="20"/>
        </w:rPr>
        <w:t xml:space="preserve">Wikipedia (2024). Waterfall model. https://en.wikipedia.org/wiki/Waterfall_model [consultato aprile 2026].</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i/>
      <w:i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2026-04-19T18:38:28.260Z</dcterms:created>
  <dcterms:modified xsi:type="dcterms:W3CDTF">2026-04-19T18:38:28.261Z</dcterms:modified>
</cp:coreProperties>
</file>

<file path=docProps/custom.xml><?xml version="1.0" encoding="utf-8"?>
<Properties xmlns="http://schemas.openxmlformats.org/officeDocument/2006/custom-properties" xmlns:vt="http://schemas.openxmlformats.org/officeDocument/2006/docPropsVTypes"/>
</file>