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A5414">
      <w:pPr>
        <w:rPr>
          <w:rFonts w:hint="eastAsia"/>
          <w:b/>
          <w:bCs/>
          <w:sz w:val="40"/>
          <w:szCs w:val="40"/>
        </w:rPr>
      </w:pPr>
      <w:r>
        <w:rPr>
          <w:rFonts w:hint="eastAsia"/>
          <w:b/>
          <w:bCs/>
          <w:sz w:val="40"/>
          <w:szCs w:val="40"/>
        </w:rPr>
        <w:t>Individual Project · AI-Assisted Empirical Paper Replication and Extension</w:t>
      </w:r>
    </w:p>
    <w:p w14:paraId="0B80B45A">
      <w:pPr>
        <w:rPr>
          <w:rFonts w:hint="eastAsia"/>
          <w:b/>
          <w:bCs/>
          <w:sz w:val="24"/>
          <w:szCs w:val="24"/>
        </w:rPr>
      </w:pPr>
    </w:p>
    <w:p w14:paraId="3E0B8FAE">
      <w:pPr>
        <w:rPr>
          <w:rFonts w:hint="eastAsia"/>
          <w:b/>
          <w:bCs/>
          <w:sz w:val="32"/>
          <w:szCs w:val="32"/>
        </w:rPr>
      </w:pPr>
      <w:r>
        <w:rPr>
          <w:rFonts w:hint="eastAsia"/>
          <w:b/>
          <w:bCs/>
          <w:sz w:val="32"/>
          <w:szCs w:val="32"/>
        </w:rPr>
        <w:t>Project Deliverables</w:t>
      </w:r>
    </w:p>
    <w:p w14:paraId="5D2D2C52">
      <w:pPr>
        <w:rPr>
          <w:rFonts w:hint="eastAsia"/>
          <w:b/>
          <w:bCs/>
          <w:sz w:val="28"/>
          <w:szCs w:val="28"/>
        </w:rPr>
      </w:pPr>
      <w:r>
        <w:rPr>
          <w:rFonts w:hint="eastAsia"/>
          <w:b/>
          <w:bCs/>
          <w:sz w:val="28"/>
          <w:szCs w:val="28"/>
        </w:rPr>
        <w:t>Empirical report</w:t>
      </w:r>
    </w:p>
    <w:p w14:paraId="058938FD">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Research question and motivation of the selected paper</w:t>
      </w:r>
    </w:p>
    <w:p w14:paraId="382A9442">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Data sources, sample construction, and variable definitions</w:t>
      </w:r>
    </w:p>
    <w:p w14:paraId="0903F598">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Empirical design</w:t>
      </w:r>
    </w:p>
    <w:p w14:paraId="6B1D5604">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Core replication results and comparison with the original paper</w:t>
      </w:r>
    </w:p>
    <w:p w14:paraId="58717BC5">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Independent extension</w:t>
      </w:r>
    </w:p>
    <w:p w14:paraId="67565464">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Validation, limitations, and conclusion</w:t>
      </w:r>
    </w:p>
    <w:p w14:paraId="05609B42">
      <w:pPr>
        <w:rPr>
          <w:rFonts w:hint="eastAsia"/>
          <w:b/>
          <w:bCs/>
          <w:sz w:val="28"/>
          <w:szCs w:val="28"/>
        </w:rPr>
      </w:pPr>
      <w:r>
        <w:rPr>
          <w:rFonts w:hint="eastAsia"/>
          <w:b/>
          <w:bCs/>
          <w:sz w:val="28"/>
          <w:szCs w:val="28"/>
        </w:rPr>
        <w:t>Reproducibility package</w:t>
      </w:r>
    </w:p>
    <w:p w14:paraId="1DD1AAD5">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Raw data, or clear instructions for accessing restricted data</w:t>
      </w:r>
    </w:p>
    <w:p w14:paraId="4D5B87D0">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Processed data used in the final analysis</w:t>
      </w:r>
    </w:p>
    <w:p w14:paraId="78BA4F0E">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Complete Python, Stata, or R code</w:t>
      </w:r>
    </w:p>
    <w:p w14:paraId="75A4128E">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A README explaining how to reproduce the results</w:t>
      </w:r>
    </w:p>
    <w:p w14:paraId="5082F6D9">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GitHub submission: Submit the project by sharing the URL of your GitHub repository with the teaching team. The repository must be accessible and contain the complete project so that it can be cloned or downloaded for review and reproduction.</w:t>
      </w:r>
    </w:p>
    <w:p w14:paraId="0D851DE9">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Use Git throughout the project to track meaningful stages of your work. The repository should contain a clear commit history rather than a single final upload.</w:t>
      </w:r>
    </w:p>
    <w:p w14:paraId="3F7DFAA7">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Detailed instructions will be provided in How to Create and Share Your GitHub Repository (link to be added).</w:t>
      </w:r>
    </w:p>
    <w:p w14:paraId="7FB8BC0B">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A reusable skill or workflow that generates the main tables and figures</w:t>
      </w:r>
    </w:p>
    <w:p w14:paraId="70E3EA9A">
      <w:pPr>
        <w:rPr>
          <w:rFonts w:hint="eastAsia"/>
          <w:b/>
          <w:bCs/>
          <w:sz w:val="28"/>
          <w:szCs w:val="28"/>
        </w:rPr>
      </w:pPr>
      <w:r>
        <w:rPr>
          <w:rFonts w:hint="eastAsia"/>
          <w:b/>
          <w:bCs/>
          <w:sz w:val="28"/>
          <w:szCs w:val="28"/>
        </w:rPr>
        <w:t>AI-use disclosure</w:t>
      </w:r>
    </w:p>
    <w:p w14:paraId="065CE801">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Where and how AI was used</w:t>
      </w:r>
    </w:p>
    <w:p w14:paraId="6952FC0A">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How AI-generated code, analysis, and writing were checked</w:t>
      </w:r>
    </w:p>
    <w:p w14:paraId="0C5F1D88">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Important AI errors or suggestions that you corrected or rejected</w:t>
      </w:r>
    </w:p>
    <w:p w14:paraId="3A54F980">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p>
    <w:p w14:paraId="1883E599">
      <w:pPr>
        <w:rPr>
          <w:rFonts w:hint="eastAsia"/>
          <w:sz w:val="24"/>
          <w:szCs w:val="24"/>
        </w:rPr>
      </w:pPr>
      <w:r>
        <w:rPr>
          <w:rFonts w:hint="eastAsia"/>
          <w:sz w:val="24"/>
          <w:szCs w:val="24"/>
        </w:rPr>
        <w:t>After the required input data have been placed in the documented input folder, the submitted workflow should generate the main tables and figures without manual modification of the data or code.</w:t>
      </w:r>
    </w:p>
    <w:p w14:paraId="27C35DC8">
      <w:pPr>
        <w:rPr>
          <w:rFonts w:hint="eastAsia"/>
          <w:sz w:val="24"/>
          <w:szCs w:val="24"/>
        </w:rPr>
      </w:pPr>
    </w:p>
    <w:p w14:paraId="1D495623">
      <w:pPr>
        <w:rPr>
          <w:rFonts w:hint="eastAsia"/>
          <w:b/>
          <w:bCs/>
          <w:sz w:val="32"/>
          <w:szCs w:val="32"/>
        </w:rPr>
      </w:pPr>
      <w:r>
        <w:rPr>
          <w:rFonts w:hint="eastAsia"/>
          <w:b/>
          <w:bCs/>
          <w:sz w:val="32"/>
          <w:szCs w:val="32"/>
        </w:rPr>
        <w:t>Additional Notes</w:t>
      </w:r>
    </w:p>
    <w:p w14:paraId="4F4359C2">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Do not upload licensed, confidential, or otherwise restricted data to GitHub. For restricted data, provide access instructions and document the required input-folder structure.</w:t>
      </w:r>
    </w:p>
    <w:p w14:paraId="6CAB9411">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The assigned core table or figure must be replicated.</w:t>
      </w:r>
    </w:p>
    <w:p w14:paraId="5283052F">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Every project must include one independent extension that answers a clearly defined economic question.</w:t>
      </w:r>
    </w:p>
    <w:p w14:paraId="62FEC41B">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Possible extensions may include, but are not limited to, a new sample period, subsample comparison, alternative variable, new hypothesis, robustness test, or heterogeneity analysis.</w:t>
      </w:r>
    </w:p>
    <w:p w14:paraId="6A5E1601">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A replication does not need to match every number in the original paper. You must use a defensible method and explain differences caused by data coverage, sample period, or implementation choices.</w:t>
      </w:r>
    </w:p>
    <w:p w14:paraId="2A7487AF">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For capital-market papers, 2000–2025 is the default modern sample period. A different period may be used when required by the research design or data availability.</w:t>
      </w:r>
    </w:p>
    <w:p w14:paraId="1C3E1CF1">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r>
        <w:rPr>
          <w:rFonts w:hint="eastAsia"/>
          <w:sz w:val="24"/>
          <w:szCs w:val="24"/>
        </w:rPr>
        <w:t>The most used data website is WRDS, which is accessible to all full-time students.You can find most US stock datas in this website.</w:t>
      </w:r>
    </w:p>
    <w:p w14:paraId="72A42653">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bookmarkStart w:id="0" w:name="_GoBack"/>
      <w:bookmarkEnd w:id="0"/>
    </w:p>
    <w:p w14:paraId="1FF5FAFF">
      <w:pPr>
        <w:widowControl w:val="0"/>
        <w:jc w:val="both"/>
        <w:rPr>
          <w:rFonts w:hint="eastAsia" w:asciiTheme="minorHAnsi" w:hAnsiTheme="minorHAnsi" w:eastAsiaTheme="minorEastAsia" w:cstheme="minorBidi"/>
          <w:b/>
          <w:bCs/>
          <w:kern w:val="2"/>
          <w:sz w:val="32"/>
          <w:szCs w:val="32"/>
          <w:lang w:val="en-US" w:eastAsia="zh-CN" w:bidi="ar-SA"/>
        </w:rPr>
      </w:pPr>
      <w:r>
        <w:rPr>
          <w:rFonts w:hint="default" w:asciiTheme="minorHAnsi" w:hAnsiTheme="minorHAnsi" w:eastAsiaTheme="minorEastAsia" w:cstheme="minorBidi"/>
          <w:b/>
          <w:bCs/>
          <w:kern w:val="2"/>
          <w:sz w:val="32"/>
          <w:szCs w:val="32"/>
          <w:lang w:val="en-US" w:eastAsia="zh-CN" w:bidi="ar-SA"/>
        </w:rPr>
        <w:t>Grade Rules</w:t>
      </w:r>
    </w:p>
    <w:p w14:paraId="51BD365A">
      <w:pPr>
        <w:keepNext w:val="0"/>
        <w:keepLines w:val="0"/>
        <w:pageBreakBefore w:val="0"/>
        <w:widowControl w:val="0"/>
        <w:kinsoku/>
        <w:wordWrap/>
        <w:overflowPunct/>
        <w:topLinePunct w:val="0"/>
        <w:autoSpaceDE/>
        <w:autoSpaceDN/>
        <w:bidi w:val="0"/>
        <w:adjustRightInd/>
        <w:snapToGrid/>
        <w:spacing w:before="120" w:line="240" w:lineRule="auto"/>
        <w:ind w:leftChars="0" w:firstLine="420" w:firstLineChars="0"/>
        <w:jc w:val="both"/>
        <w:textAlignment w:val="auto"/>
        <w:rPr>
          <w:rFonts w:hint="eastAsia"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Because the four project options differ in data requirements, implementation complexity, and replication difficulty, each paper will be assigned a paper-specific initial replication score. This initial score reflects the expected difficulty of the assigned core replication only; it is not the student’s final grade and does not place a ceiling on the final grade. Choosing a paper with a more accessible replication design does not imply a lower final score. Students working on any paper can earn a high final grade through careful execution, strong validation, clear interpretation, and a well-motivated independent extension.</w:t>
      </w:r>
    </w:p>
    <w:p w14:paraId="4486B176">
      <w:pPr>
        <w:keepNext w:val="0"/>
        <w:keepLines w:val="0"/>
        <w:pageBreakBefore w:val="0"/>
        <w:widowControl w:val="0"/>
        <w:kinsoku/>
        <w:wordWrap/>
        <w:overflowPunct/>
        <w:topLinePunct w:val="0"/>
        <w:autoSpaceDE/>
        <w:autoSpaceDN/>
        <w:bidi w:val="0"/>
        <w:adjustRightInd/>
        <w:snapToGrid/>
        <w:spacing w:before="120" w:line="240" w:lineRule="auto"/>
        <w:ind w:leftChars="0" w:firstLine="420" w:firstLineChars="0"/>
        <w:jc w:val="both"/>
        <w:textAlignment w:val="auto"/>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The independent extension is a major basis for evaluating the overall quality and ambition of the project. Extensions will be assessed according to the clarity of the economic question, the appropriateness of the empirical design, the quality of implementation and validation, and the insight provided by the results—not simply by the amount of additional code or the apparent complexity of the method.</w:t>
      </w:r>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98"/>
        <w:gridCol w:w="1278"/>
        <w:gridCol w:w="4880"/>
      </w:tblGrid>
      <w:tr w14:paraId="0CD03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484" w:type="pct"/>
            <w:tcBorders>
              <w:bottom w:val="single" w:color="D9D6CE" w:sz="2" w:space="0"/>
            </w:tcBorders>
            <w:shd w:val="clear" w:color="auto" w:fill="FFFFFF"/>
            <w:tcMar>
              <w:top w:w="195" w:type="dxa"/>
              <w:left w:w="225" w:type="dxa"/>
              <w:bottom w:w="195" w:type="dxa"/>
              <w:right w:w="225" w:type="dxa"/>
            </w:tcMar>
            <w:vAlign w:val="center"/>
          </w:tcPr>
          <w:p w14:paraId="6093C5BC">
            <w:pPr>
              <w:keepNext/>
              <w:keepLines w:val="0"/>
              <w:widowControl/>
              <w:suppressLineNumbers w:val="0"/>
              <w:snapToGrid w:val="0"/>
              <w:spacing w:line="240" w:lineRule="auto"/>
              <w:ind w:left="0" w:leftChars="0" w:right="0" w:rightChars="0" w:firstLine="0" w:firstLineChars="0"/>
              <w:jc w:val="center"/>
              <w:textAlignment w:val="top"/>
              <w:rPr>
                <w:rFonts w:ascii="宋体" w:eastAsia="宋体"/>
                <w:b/>
                <w:bCs/>
                <w:caps/>
                <w:color w:val="FFFFFF"/>
                <w:spacing w:val="17"/>
                <w:sz w:val="24"/>
              </w:rPr>
            </w:pPr>
            <w:r>
              <w:rPr>
                <w:rFonts w:ascii="宋体" w:hAnsi="宋体" w:eastAsia="宋体" w:cs="宋体"/>
                <w:b/>
                <w:bCs/>
                <w:caps/>
                <w:color w:val="FFFFFF"/>
                <w:spacing w:val="17"/>
                <w:kern w:val="0"/>
                <w:sz w:val="24"/>
                <w:szCs w:val="24"/>
                <w:bdr w:val="none" w:color="auto" w:sz="0" w:space="0"/>
                <w:lang w:val="en-US" w:eastAsia="zh-CN" w:bidi="ar"/>
              </w:rPr>
              <w:t>Dimension</w:t>
            </w:r>
          </w:p>
        </w:tc>
        <w:tc>
          <w:tcPr>
            <w:tcW w:w="729" w:type="pct"/>
            <w:tcBorders>
              <w:bottom w:val="single" w:color="D9D6CE" w:sz="2" w:space="0"/>
            </w:tcBorders>
            <w:shd w:val="clear" w:color="auto" w:fill="FFFFFF"/>
            <w:tcMar>
              <w:top w:w="195" w:type="dxa"/>
              <w:left w:w="225" w:type="dxa"/>
              <w:bottom w:w="195" w:type="dxa"/>
              <w:right w:w="225" w:type="dxa"/>
            </w:tcMar>
            <w:vAlign w:val="center"/>
          </w:tcPr>
          <w:p w14:paraId="77D3DAF5">
            <w:pPr>
              <w:keepNext/>
              <w:keepLines w:val="0"/>
              <w:widowControl/>
              <w:suppressLineNumbers w:val="0"/>
              <w:snapToGrid w:val="0"/>
              <w:spacing w:line="240" w:lineRule="auto"/>
              <w:ind w:left="0" w:leftChars="0" w:right="0" w:rightChars="0" w:firstLine="0" w:firstLineChars="0"/>
              <w:jc w:val="center"/>
              <w:textAlignment w:val="top"/>
              <w:rPr>
                <w:rFonts w:ascii="宋体" w:eastAsia="宋体"/>
                <w:b/>
                <w:bCs/>
                <w:caps/>
                <w:color w:val="FFFFFF"/>
                <w:spacing w:val="17"/>
                <w:sz w:val="24"/>
              </w:rPr>
            </w:pPr>
            <w:r>
              <w:rPr>
                <w:rFonts w:ascii="宋体" w:hAnsi="宋体" w:eastAsia="宋体" w:cs="宋体"/>
                <w:b/>
                <w:bCs/>
                <w:caps/>
                <w:color w:val="FFFFFF"/>
                <w:spacing w:val="17"/>
                <w:kern w:val="0"/>
                <w:sz w:val="24"/>
                <w:szCs w:val="24"/>
                <w:bdr w:val="none" w:color="auto" w:sz="0" w:space="0"/>
                <w:lang w:val="en-US" w:eastAsia="zh-CN" w:bidi="ar"/>
              </w:rPr>
              <w:t>Weight</w:t>
            </w:r>
          </w:p>
        </w:tc>
        <w:tc>
          <w:tcPr>
            <w:tcW w:w="2786" w:type="pct"/>
            <w:tcBorders>
              <w:bottom w:val="single" w:color="D9D6CE" w:sz="2" w:space="0"/>
            </w:tcBorders>
            <w:shd w:val="clear" w:color="auto" w:fill="FFFFFF"/>
            <w:tcMar>
              <w:top w:w="195" w:type="dxa"/>
              <w:left w:w="225" w:type="dxa"/>
              <w:bottom w:w="195" w:type="dxa"/>
              <w:right w:w="225" w:type="dxa"/>
            </w:tcMar>
            <w:vAlign w:val="center"/>
          </w:tcPr>
          <w:p w14:paraId="54C15AA7">
            <w:pPr>
              <w:keepNext/>
              <w:keepLines w:val="0"/>
              <w:widowControl/>
              <w:suppressLineNumbers w:val="0"/>
              <w:snapToGrid w:val="0"/>
              <w:spacing w:line="240" w:lineRule="auto"/>
              <w:ind w:left="0" w:leftChars="0" w:right="0" w:rightChars="0" w:firstLine="0" w:firstLineChars="0"/>
              <w:jc w:val="center"/>
              <w:textAlignment w:val="top"/>
              <w:rPr>
                <w:rFonts w:ascii="宋体" w:eastAsia="宋体"/>
                <w:b/>
                <w:bCs/>
                <w:caps/>
                <w:color w:val="FFFFFF"/>
                <w:spacing w:val="17"/>
                <w:sz w:val="24"/>
              </w:rPr>
            </w:pPr>
            <w:r>
              <w:rPr>
                <w:rFonts w:ascii="宋体" w:hAnsi="宋体" w:eastAsia="宋体" w:cs="宋体"/>
                <w:b/>
                <w:bCs/>
                <w:caps/>
                <w:color w:val="FFFFFF"/>
                <w:spacing w:val="17"/>
                <w:kern w:val="0"/>
                <w:sz w:val="24"/>
                <w:szCs w:val="24"/>
                <w:bdr w:val="none" w:color="auto" w:sz="0" w:space="0"/>
                <w:lang w:val="en-US" w:eastAsia="zh-CN" w:bidi="ar"/>
              </w:rPr>
              <w:t>Evaluation Focus</w:t>
            </w:r>
          </w:p>
        </w:tc>
      </w:tr>
      <w:tr w14:paraId="47A54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484" w:type="pct"/>
            <w:tcBorders>
              <w:bottom w:val="single" w:color="D9D6CE" w:sz="2" w:space="0"/>
            </w:tcBorders>
            <w:shd w:val="clear" w:color="auto" w:fill="FFFFFF"/>
            <w:tcMar>
              <w:top w:w="195" w:type="dxa"/>
              <w:left w:w="225" w:type="dxa"/>
              <w:bottom w:w="195" w:type="dxa"/>
              <w:right w:w="225" w:type="dxa"/>
            </w:tcMar>
            <w:vAlign w:val="center"/>
          </w:tcPr>
          <w:p w14:paraId="23593B58">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Understanding of the Paper and Research Design</w:t>
            </w:r>
          </w:p>
        </w:tc>
        <w:tc>
          <w:tcPr>
            <w:tcW w:w="729" w:type="pct"/>
            <w:tcBorders>
              <w:bottom w:val="single" w:color="D9D6CE" w:sz="2" w:space="0"/>
            </w:tcBorders>
            <w:shd w:val="clear" w:color="auto" w:fill="FFFFFF"/>
            <w:tcMar>
              <w:top w:w="195" w:type="dxa"/>
              <w:left w:w="225" w:type="dxa"/>
              <w:bottom w:w="195" w:type="dxa"/>
              <w:right w:w="225" w:type="dxa"/>
            </w:tcMar>
            <w:vAlign w:val="center"/>
          </w:tcPr>
          <w:p w14:paraId="7C876650">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5%</w:t>
            </w:r>
          </w:p>
        </w:tc>
        <w:tc>
          <w:tcPr>
            <w:tcW w:w="2786" w:type="pct"/>
            <w:tcBorders>
              <w:bottom w:val="single" w:color="D9D6CE" w:sz="2" w:space="0"/>
            </w:tcBorders>
            <w:shd w:val="clear" w:color="auto" w:fill="FFFFFF"/>
            <w:tcMar>
              <w:top w:w="195" w:type="dxa"/>
              <w:left w:w="225" w:type="dxa"/>
              <w:bottom w:w="195" w:type="dxa"/>
              <w:right w:w="225" w:type="dxa"/>
            </w:tcMar>
            <w:vAlign w:val="center"/>
          </w:tcPr>
          <w:p w14:paraId="45742492">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Clearly explains the research question, economic mechanism, hypotheses, and empirical design.</w:t>
            </w:r>
          </w:p>
        </w:tc>
      </w:tr>
      <w:tr w14:paraId="052E7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484" w:type="pct"/>
            <w:tcBorders>
              <w:bottom w:val="single" w:color="D9D6CE" w:sz="2" w:space="0"/>
            </w:tcBorders>
            <w:shd w:val="clear" w:color="auto" w:fill="FBFAF6"/>
            <w:tcMar>
              <w:top w:w="195" w:type="dxa"/>
              <w:left w:w="225" w:type="dxa"/>
              <w:bottom w:w="195" w:type="dxa"/>
              <w:right w:w="225" w:type="dxa"/>
            </w:tcMar>
            <w:vAlign w:val="center"/>
          </w:tcPr>
          <w:p w14:paraId="5E94A108">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Data and Variable Construction</w:t>
            </w:r>
          </w:p>
        </w:tc>
        <w:tc>
          <w:tcPr>
            <w:tcW w:w="729" w:type="pct"/>
            <w:tcBorders>
              <w:bottom w:val="single" w:color="D9D6CE" w:sz="2" w:space="0"/>
            </w:tcBorders>
            <w:shd w:val="clear" w:color="auto" w:fill="FBFAF6"/>
            <w:tcMar>
              <w:top w:w="195" w:type="dxa"/>
              <w:left w:w="225" w:type="dxa"/>
              <w:bottom w:w="195" w:type="dxa"/>
              <w:right w:w="225" w:type="dxa"/>
            </w:tcMar>
            <w:vAlign w:val="center"/>
          </w:tcPr>
          <w:p w14:paraId="2256A520">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25%</w:t>
            </w:r>
          </w:p>
        </w:tc>
        <w:tc>
          <w:tcPr>
            <w:tcW w:w="2786" w:type="pct"/>
            <w:tcBorders>
              <w:bottom w:val="single" w:color="D9D6CE" w:sz="2" w:space="0"/>
            </w:tcBorders>
            <w:shd w:val="clear" w:color="auto" w:fill="FBFAF6"/>
            <w:tcMar>
              <w:top w:w="195" w:type="dxa"/>
              <w:left w:w="225" w:type="dxa"/>
              <w:bottom w:w="195" w:type="dxa"/>
              <w:right w:w="225" w:type="dxa"/>
            </w:tcMar>
            <w:vAlign w:val="center"/>
          </w:tcPr>
          <w:p w14:paraId="712B9737">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Uses appropriate sources and documents time alignment, sample screening, variable definitions, and data-cleaning choices.</w:t>
            </w:r>
          </w:p>
        </w:tc>
      </w:tr>
      <w:tr w14:paraId="73F72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484" w:type="pct"/>
            <w:tcBorders>
              <w:bottom w:val="single" w:color="D9D6CE" w:sz="2" w:space="0"/>
            </w:tcBorders>
            <w:shd w:val="clear" w:color="auto" w:fill="FFFFFF"/>
            <w:tcMar>
              <w:top w:w="195" w:type="dxa"/>
              <w:left w:w="225" w:type="dxa"/>
              <w:bottom w:w="195" w:type="dxa"/>
              <w:right w:w="225" w:type="dxa"/>
            </w:tcMar>
            <w:vAlign w:val="center"/>
          </w:tcPr>
          <w:p w14:paraId="4F0BB7ED">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Core Replication and Validation</w:t>
            </w:r>
          </w:p>
        </w:tc>
        <w:tc>
          <w:tcPr>
            <w:tcW w:w="729" w:type="pct"/>
            <w:tcBorders>
              <w:bottom w:val="single" w:color="D9D6CE" w:sz="2" w:space="0"/>
            </w:tcBorders>
            <w:shd w:val="clear" w:color="auto" w:fill="FFFFFF"/>
            <w:tcMar>
              <w:top w:w="195" w:type="dxa"/>
              <w:left w:w="225" w:type="dxa"/>
              <w:bottom w:w="195" w:type="dxa"/>
              <w:right w:w="225" w:type="dxa"/>
            </w:tcMar>
            <w:vAlign w:val="center"/>
          </w:tcPr>
          <w:p w14:paraId="22F5080A">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25%</w:t>
            </w:r>
          </w:p>
        </w:tc>
        <w:tc>
          <w:tcPr>
            <w:tcW w:w="2786" w:type="pct"/>
            <w:tcBorders>
              <w:bottom w:val="single" w:color="D9D6CE" w:sz="2" w:space="0"/>
            </w:tcBorders>
            <w:shd w:val="clear" w:color="auto" w:fill="FFFFFF"/>
            <w:tcMar>
              <w:top w:w="195" w:type="dxa"/>
              <w:left w:w="225" w:type="dxa"/>
              <w:bottom w:w="195" w:type="dxa"/>
              <w:right w:w="225" w:type="dxa"/>
            </w:tcMar>
            <w:vAlign w:val="center"/>
          </w:tcPr>
          <w:p w14:paraId="19B8EEB7">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Produces the assigned result, performs appropriate checks, and explains similarities and differences relative to the original paper. Evaluation takes into account the paper-specific initial replication score and the difficulty of the assigned task.</w:t>
            </w:r>
          </w:p>
        </w:tc>
      </w:tr>
      <w:tr w14:paraId="1C0D2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4" w:type="pct"/>
            <w:tcBorders>
              <w:bottom w:val="single" w:color="D9D6CE" w:sz="2" w:space="0"/>
            </w:tcBorders>
            <w:shd w:val="clear" w:color="auto" w:fill="FBFAF6"/>
            <w:tcMar>
              <w:top w:w="195" w:type="dxa"/>
              <w:left w:w="225" w:type="dxa"/>
              <w:bottom w:w="195" w:type="dxa"/>
              <w:right w:w="225" w:type="dxa"/>
            </w:tcMar>
            <w:vAlign w:val="center"/>
          </w:tcPr>
          <w:p w14:paraId="799AF109">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Independent Extension</w:t>
            </w:r>
          </w:p>
        </w:tc>
        <w:tc>
          <w:tcPr>
            <w:tcW w:w="729" w:type="pct"/>
            <w:tcBorders>
              <w:bottom w:val="single" w:color="D9D6CE" w:sz="2" w:space="0"/>
            </w:tcBorders>
            <w:shd w:val="clear" w:color="auto" w:fill="FBFAF6"/>
            <w:tcMar>
              <w:top w:w="195" w:type="dxa"/>
              <w:left w:w="225" w:type="dxa"/>
              <w:bottom w:w="195" w:type="dxa"/>
              <w:right w:w="225" w:type="dxa"/>
            </w:tcMar>
            <w:vAlign w:val="center"/>
          </w:tcPr>
          <w:p w14:paraId="0B47C2FD">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20%</w:t>
            </w:r>
          </w:p>
        </w:tc>
        <w:tc>
          <w:tcPr>
            <w:tcW w:w="2786" w:type="pct"/>
            <w:tcBorders>
              <w:bottom w:val="single" w:color="D9D6CE" w:sz="2" w:space="0"/>
            </w:tcBorders>
            <w:shd w:val="clear" w:color="auto" w:fill="FBFAF6"/>
            <w:tcMar>
              <w:top w:w="195" w:type="dxa"/>
              <w:left w:w="225" w:type="dxa"/>
              <w:bottom w:w="195" w:type="dxa"/>
              <w:right w:w="225" w:type="dxa"/>
            </w:tcMar>
            <w:vAlign w:val="center"/>
          </w:tcPr>
          <w:p w14:paraId="6DC9E8ED">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Develops a motivated extension with a clear economic question, suitable empirical test, careful validation, and thoughtful interpretation. This is a major basis for differentiating final project performance across papers.</w:t>
            </w:r>
          </w:p>
        </w:tc>
      </w:tr>
      <w:tr w14:paraId="7D9C6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484" w:type="pct"/>
            <w:tcBorders>
              <w:bottom w:val="single" w:color="D9D6CE" w:sz="2" w:space="0"/>
            </w:tcBorders>
            <w:shd w:val="clear" w:color="auto" w:fill="FFFFFF"/>
            <w:tcMar>
              <w:top w:w="195" w:type="dxa"/>
              <w:left w:w="225" w:type="dxa"/>
              <w:bottom w:w="195" w:type="dxa"/>
              <w:right w:w="225" w:type="dxa"/>
            </w:tcMar>
            <w:vAlign w:val="center"/>
          </w:tcPr>
          <w:p w14:paraId="4E01CD27">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Reproducibility and Workflow</w:t>
            </w:r>
          </w:p>
        </w:tc>
        <w:tc>
          <w:tcPr>
            <w:tcW w:w="729" w:type="pct"/>
            <w:tcBorders>
              <w:bottom w:val="single" w:color="D9D6CE" w:sz="2" w:space="0"/>
            </w:tcBorders>
            <w:shd w:val="clear" w:color="auto" w:fill="FFFFFF"/>
            <w:tcMar>
              <w:top w:w="195" w:type="dxa"/>
              <w:left w:w="225" w:type="dxa"/>
              <w:bottom w:w="195" w:type="dxa"/>
              <w:right w:w="225" w:type="dxa"/>
            </w:tcMar>
            <w:vAlign w:val="center"/>
          </w:tcPr>
          <w:p w14:paraId="530BEE60">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20%</w:t>
            </w:r>
          </w:p>
        </w:tc>
        <w:tc>
          <w:tcPr>
            <w:tcW w:w="2786" w:type="pct"/>
            <w:tcBorders>
              <w:bottom w:val="single" w:color="D9D6CE" w:sz="2" w:space="0"/>
            </w:tcBorders>
            <w:shd w:val="clear" w:color="auto" w:fill="FFFFFF"/>
            <w:tcMar>
              <w:top w:w="195" w:type="dxa"/>
              <w:left w:w="225" w:type="dxa"/>
              <w:bottom w:w="195" w:type="dxa"/>
              <w:right w:w="225" w:type="dxa"/>
            </w:tcMar>
            <w:vAlign w:val="center"/>
          </w:tcPr>
          <w:p w14:paraId="7E1AE2CB">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Provides clear, well-structured code and a workflow that reproduces the final tables and figures from the submitted inputs.</w:t>
            </w:r>
          </w:p>
        </w:tc>
      </w:tr>
      <w:tr w14:paraId="0B28F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4" w:type="pct"/>
            <w:tcBorders>
              <w:bottom w:val="nil"/>
            </w:tcBorders>
            <w:shd w:val="clear" w:color="auto" w:fill="FBFAF6"/>
            <w:tcMar>
              <w:top w:w="195" w:type="dxa"/>
              <w:left w:w="225" w:type="dxa"/>
              <w:bottom w:w="195" w:type="dxa"/>
              <w:right w:w="225" w:type="dxa"/>
            </w:tcMar>
            <w:vAlign w:val="center"/>
          </w:tcPr>
          <w:p w14:paraId="3CBCE7E6">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Report and AI-Use Disclosure</w:t>
            </w:r>
          </w:p>
        </w:tc>
        <w:tc>
          <w:tcPr>
            <w:tcW w:w="729" w:type="pct"/>
            <w:tcBorders>
              <w:bottom w:val="nil"/>
            </w:tcBorders>
            <w:shd w:val="clear" w:color="auto" w:fill="FBFAF6"/>
            <w:tcMar>
              <w:top w:w="195" w:type="dxa"/>
              <w:left w:w="225" w:type="dxa"/>
              <w:bottom w:w="195" w:type="dxa"/>
              <w:right w:w="225" w:type="dxa"/>
            </w:tcMar>
            <w:vAlign w:val="center"/>
          </w:tcPr>
          <w:p w14:paraId="0BCA0C68">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5%</w:t>
            </w:r>
          </w:p>
        </w:tc>
        <w:tc>
          <w:tcPr>
            <w:tcW w:w="2786" w:type="pct"/>
            <w:tcBorders>
              <w:bottom w:val="nil"/>
            </w:tcBorders>
            <w:shd w:val="clear" w:color="auto" w:fill="FBFAF6"/>
            <w:tcMar>
              <w:top w:w="195" w:type="dxa"/>
              <w:left w:w="225" w:type="dxa"/>
              <w:bottom w:w="195" w:type="dxa"/>
              <w:right w:w="225" w:type="dxa"/>
            </w:tcMar>
            <w:vAlign w:val="center"/>
          </w:tcPr>
          <w:p w14:paraId="64F7925C">
            <w:pPr>
              <w:keepNext/>
              <w:keepLines w:val="0"/>
              <w:widowControl/>
              <w:suppressLineNumbers w:val="0"/>
              <w:snapToGrid w:val="0"/>
              <w:spacing w:line="240" w:lineRule="auto"/>
              <w:ind w:left="0" w:leftChars="0" w:right="0" w:rightChars="0" w:firstLine="0" w:firstLineChars="0"/>
              <w:jc w:val="center"/>
              <w:textAlignment w:val="top"/>
              <w:rPr>
                <w:rFonts w:ascii="宋体" w:eastAsia="宋体"/>
                <w:sz w:val="24"/>
              </w:rPr>
            </w:pPr>
            <w:r>
              <w:rPr>
                <w:rFonts w:ascii="宋体" w:hAnsi="宋体" w:eastAsia="宋体" w:cs="宋体"/>
                <w:kern w:val="0"/>
                <w:sz w:val="24"/>
                <w:szCs w:val="24"/>
                <w:bdr w:val="none" w:color="auto" w:sz="0" w:space="0"/>
                <w:lang w:val="en-US" w:eastAsia="zh-CN" w:bidi="ar"/>
              </w:rPr>
              <w:t>Communicates the analysis clearly and documents how AI outputs were used, checked, corrected, or rejected.</w:t>
            </w:r>
          </w:p>
        </w:tc>
      </w:tr>
    </w:tbl>
    <w:p w14:paraId="17CDF4F0">
      <w:pPr>
        <w:keepNext w:val="0"/>
        <w:keepLines w:val="0"/>
        <w:pageBreakBefore w:val="0"/>
        <w:widowControl w:val="0"/>
        <w:kinsoku/>
        <w:wordWrap/>
        <w:overflowPunct/>
        <w:topLinePunct w:val="0"/>
        <w:autoSpaceDE/>
        <w:autoSpaceDN/>
        <w:bidi w:val="0"/>
        <w:adjustRightInd/>
        <w:snapToGrid/>
        <w:spacing w:before="120" w:line="240" w:lineRule="auto"/>
        <w:textAlignment w:val="auto"/>
        <w:rPr>
          <w:rFonts w:hint="eastAsia"/>
          <w:sz w:val="24"/>
          <w:szCs w:val="24"/>
        </w:rPr>
      </w:pPr>
    </w:p>
    <w:p w14:paraId="3F0A1C79">
      <w:pPr>
        <w:keepNext w:val="0"/>
        <w:keepLines w:val="0"/>
        <w:pageBreakBefore w:val="0"/>
        <w:widowControl w:val="0"/>
        <w:kinsoku/>
        <w:wordWrap/>
        <w:overflowPunct/>
        <w:topLinePunct w:val="0"/>
        <w:autoSpaceDE/>
        <w:autoSpaceDN/>
        <w:bidi w:val="0"/>
        <w:adjustRightInd/>
        <w:snapToGrid/>
        <w:spacing w:before="120" w:line="240" w:lineRule="auto"/>
        <w:ind w:firstLine="420" w:firstLineChars="0"/>
        <w:textAlignment w:val="auto"/>
        <w:rPr>
          <w:rFonts w:hint="eastAsia"/>
          <w:sz w:val="24"/>
          <w:szCs w:val="24"/>
        </w:rPr>
      </w:pPr>
    </w:p>
    <w:p w14:paraId="475D599C">
      <w:pPr>
        <w:rPr>
          <w:rFonts w:hint="eastAsia"/>
          <w:b/>
          <w:bCs/>
          <w:sz w:val="32"/>
          <w:szCs w:val="32"/>
        </w:rPr>
      </w:pPr>
      <w:r>
        <w:rPr>
          <w:rFonts w:hint="eastAsia"/>
          <w:b/>
          <w:bCs/>
          <w:sz w:val="32"/>
          <w:szCs w:val="32"/>
        </w:rPr>
        <w:t>Card &amp; Krueger (1994) — Minimum Wage and Employment</w:t>
      </w:r>
    </w:p>
    <w:p w14:paraId="79D02211">
      <w:pPr>
        <w:keepNext w:val="0"/>
        <w:keepLines w:val="0"/>
        <w:pageBreakBefore w:val="0"/>
        <w:widowControl w:val="0"/>
        <w:kinsoku/>
        <w:wordWrap/>
        <w:overflowPunct/>
        <w:topLinePunct w:val="0"/>
        <w:autoSpaceDE/>
        <w:autoSpaceDN/>
        <w:bidi w:val="0"/>
        <w:adjustRightInd/>
        <w:snapToGrid/>
        <w:spacing w:before="120" w:line="240" w:lineRule="auto"/>
        <w:textAlignment w:val="auto"/>
        <w:rPr>
          <w:rFonts w:hint="eastAsia"/>
          <w:sz w:val="24"/>
          <w:szCs w:val="24"/>
        </w:rPr>
      </w:pPr>
      <w:r>
        <w:rPr>
          <w:rFonts w:hint="eastAsia"/>
          <w:sz w:val="24"/>
          <w:szCs w:val="24"/>
        </w:rPr>
        <w:t>To be replicated: Tables 2–4 and Figure 1. Table 1 is not required because the necessary data are restricted.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45FD3"/>
    <w:rsid w:val="020430CD"/>
    <w:rsid w:val="025165A8"/>
    <w:rsid w:val="02D44A12"/>
    <w:rsid w:val="038F112A"/>
    <w:rsid w:val="046524C3"/>
    <w:rsid w:val="04EA1E3F"/>
    <w:rsid w:val="050643D0"/>
    <w:rsid w:val="05222E69"/>
    <w:rsid w:val="07347A14"/>
    <w:rsid w:val="078547EE"/>
    <w:rsid w:val="07E72842"/>
    <w:rsid w:val="07FA3F69"/>
    <w:rsid w:val="08483E39"/>
    <w:rsid w:val="0A4649A7"/>
    <w:rsid w:val="0C795DB8"/>
    <w:rsid w:val="0CA20D8F"/>
    <w:rsid w:val="0F707686"/>
    <w:rsid w:val="1098775E"/>
    <w:rsid w:val="111C565D"/>
    <w:rsid w:val="1262307C"/>
    <w:rsid w:val="12A500D5"/>
    <w:rsid w:val="13277628"/>
    <w:rsid w:val="135919BE"/>
    <w:rsid w:val="13A35AF2"/>
    <w:rsid w:val="13FE3CEB"/>
    <w:rsid w:val="14C731DC"/>
    <w:rsid w:val="14CA753B"/>
    <w:rsid w:val="15B2481A"/>
    <w:rsid w:val="165D6E7D"/>
    <w:rsid w:val="1746798D"/>
    <w:rsid w:val="17AE0764"/>
    <w:rsid w:val="18DB2C6E"/>
    <w:rsid w:val="195E06CB"/>
    <w:rsid w:val="19F6038B"/>
    <w:rsid w:val="1A387D20"/>
    <w:rsid w:val="1B2031D5"/>
    <w:rsid w:val="1B39565A"/>
    <w:rsid w:val="1B3D460B"/>
    <w:rsid w:val="1C214B24"/>
    <w:rsid w:val="1DB91B3A"/>
    <w:rsid w:val="1DCB486F"/>
    <w:rsid w:val="1EE76ACA"/>
    <w:rsid w:val="2401013B"/>
    <w:rsid w:val="24801E06"/>
    <w:rsid w:val="248701D9"/>
    <w:rsid w:val="24B24B88"/>
    <w:rsid w:val="251874BF"/>
    <w:rsid w:val="2541343D"/>
    <w:rsid w:val="269B7287"/>
    <w:rsid w:val="27CE0005"/>
    <w:rsid w:val="28E1083D"/>
    <w:rsid w:val="29613878"/>
    <w:rsid w:val="2BE81852"/>
    <w:rsid w:val="2C065265"/>
    <w:rsid w:val="2C620359"/>
    <w:rsid w:val="2E4D68C3"/>
    <w:rsid w:val="316A11E0"/>
    <w:rsid w:val="31B129AB"/>
    <w:rsid w:val="31E9200A"/>
    <w:rsid w:val="31F66599"/>
    <w:rsid w:val="335E671C"/>
    <w:rsid w:val="336C5322"/>
    <w:rsid w:val="35784C5F"/>
    <w:rsid w:val="358C3FC5"/>
    <w:rsid w:val="375A6E6A"/>
    <w:rsid w:val="376671A5"/>
    <w:rsid w:val="386706DB"/>
    <w:rsid w:val="386B1042"/>
    <w:rsid w:val="38A62BA4"/>
    <w:rsid w:val="3C3E5C6E"/>
    <w:rsid w:val="3C57460D"/>
    <w:rsid w:val="3E364DA5"/>
    <w:rsid w:val="3F6B33DC"/>
    <w:rsid w:val="40B91A20"/>
    <w:rsid w:val="41020E38"/>
    <w:rsid w:val="42CD0722"/>
    <w:rsid w:val="431A22CA"/>
    <w:rsid w:val="445C3DF4"/>
    <w:rsid w:val="449F0219"/>
    <w:rsid w:val="45731BC0"/>
    <w:rsid w:val="46DE72D8"/>
    <w:rsid w:val="4855593D"/>
    <w:rsid w:val="48DB2034"/>
    <w:rsid w:val="494920D5"/>
    <w:rsid w:val="4A2A264D"/>
    <w:rsid w:val="4ADD0B14"/>
    <w:rsid w:val="4B0D140E"/>
    <w:rsid w:val="4D397B81"/>
    <w:rsid w:val="4DAD5C6B"/>
    <w:rsid w:val="4F250C92"/>
    <w:rsid w:val="50CC7267"/>
    <w:rsid w:val="51436528"/>
    <w:rsid w:val="51EE7482"/>
    <w:rsid w:val="52AE215E"/>
    <w:rsid w:val="54554DDF"/>
    <w:rsid w:val="560354CA"/>
    <w:rsid w:val="564425C1"/>
    <w:rsid w:val="57BE2BD8"/>
    <w:rsid w:val="57DB3E6D"/>
    <w:rsid w:val="58023ABA"/>
    <w:rsid w:val="58DF1109"/>
    <w:rsid w:val="5AC4198F"/>
    <w:rsid w:val="5B546CB8"/>
    <w:rsid w:val="5BB04516"/>
    <w:rsid w:val="5D20162E"/>
    <w:rsid w:val="5D887A3E"/>
    <w:rsid w:val="5F8C014D"/>
    <w:rsid w:val="61440412"/>
    <w:rsid w:val="62136DAD"/>
    <w:rsid w:val="637917E2"/>
    <w:rsid w:val="64CA1117"/>
    <w:rsid w:val="66BB0395"/>
    <w:rsid w:val="6721184C"/>
    <w:rsid w:val="67554E49"/>
    <w:rsid w:val="69384B8B"/>
    <w:rsid w:val="69436239"/>
    <w:rsid w:val="6D6A145D"/>
    <w:rsid w:val="6D8956E4"/>
    <w:rsid w:val="6DAB428F"/>
    <w:rsid w:val="6F151EC1"/>
    <w:rsid w:val="6FCB51AE"/>
    <w:rsid w:val="70C22F99"/>
    <w:rsid w:val="75094D24"/>
    <w:rsid w:val="753277C7"/>
    <w:rsid w:val="75E448EE"/>
    <w:rsid w:val="78120B86"/>
    <w:rsid w:val="79990938"/>
    <w:rsid w:val="7A820D73"/>
    <w:rsid w:val="7B2212D5"/>
    <w:rsid w:val="7BDF16AF"/>
    <w:rsid w:val="7C0B4C7E"/>
    <w:rsid w:val="7D870F47"/>
    <w:rsid w:val="7FAE7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412</Words>
  <Characters>2308</Characters>
  <Lines>0</Lines>
  <Paragraphs>0</Paragraphs>
  <TotalTime>10</TotalTime>
  <ScaleCrop>false</ScaleCrop>
  <LinksUpToDate>false</LinksUpToDate>
  <CharactersWithSpaces>2683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2025-12-15T10:37:00Z</dcterms:created>
  <dc:creator>hamster</dc:creator>
  <cp:lastModifiedBy>Azur</cp:lastModifiedBy>
  <dcterms:modified xsi:type="dcterms:W3CDTF">2026-10-08T11:42:52Z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7922DCFB59B641B59B50AE4596541393_12</vt:lpwstr>
  </property>
  <property fmtid="{D5CDD505-2E9C-101B-9397-08002B2CF9AE}" pid="4" name="KSOTemplateDocerSaveRecord">
    <vt:lpwstr>eyJoZGlkIjoiOGU4ZDI3ZWIxYTk1ODZiOWQ1NGYxZWRiNDIyMWFhYmIiLCJ1c2VySWQiOiI5MjkzOTgzNzQifQ==</vt:lpwstr>
  </property>
</Properties>
</file>