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8"/>
        </w:rPr>
        <w:t>Replicating and Extending Card &amp; Krueger (1994): Minimum Wages and Employment in the Fast-Food Industry</w:t>
      </w:r>
    </w:p>
    <w:p>
      <w:pPr>
        <w:spacing w:before="120" w:after="80"/>
      </w:pPr>
      <w:r>
        <w:rPr>
          <w:b/>
          <w:i w:val="0"/>
          <w:sz w:val="22"/>
        </w:rPr>
        <w:t>Abstract</w:t>
      </w:r>
    </w:p>
    <w:p>
      <w:pPr>
        <w:jc w:val="both"/>
      </w:pPr>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This paper reproduces the headline DID of +2.754 FTE (t = 2.05), the reduced-form New Jersey dummy of 2.33 (SE 1.19), and the initial wage gap coefficient of 15.65 (SE 6.08) exactly. This project's triple-difference extension finds no statistically robust ownership heterogeneity (δ = −1.10, HC1 SE 2.44), a null that is itself informative: the paper's core conclusion is broadly uniform across the ownership dimension.</w:t>
      </w:r>
    </w:p>
    <w:p>
      <w:pPr>
        <w:pStyle w:val="Heading1"/>
      </w:pPr>
      <w:r>
        <w:t>1. Research question and motivation</w:t>
      </w:r>
    </w:p>
    <w:p>
      <w:pPr>
        <w:pStyle w:val="Heading2"/>
      </w:pPr>
      <w:r>
        <w:t>1.1 The policy question and the paper's contribution</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pPr>
        <w:pStyle w:val="Heading2"/>
      </w:pPr>
      <w:r>
        <w:t>1.2 Economic mechanism and competing hypotheses</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pPr>
        <w:pStyle w:val="Heading2"/>
      </w:pPr>
      <w:r>
        <w:t>1.3 This project: replication plus an ownership extension</w:t>
      </w:r>
    </w:p>
    <w:p>
      <w:pPr>
        <w:jc w:val="both"/>
      </w:pPr>
      <w:r>
        <w:rPr>
          <w:b w:val="0"/>
          <w:i w:val="0"/>
        </w:rPr>
        <w:t>This project has two goals. First, replicate CK94's Tables 2–4 and Figure 1 from the store-level microdata, verifying that this project's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pPr>
        <w:pStyle w:val="Heading1"/>
      </w:pPr>
      <w:r>
        <w:t>2. Data sources, sample construction, and variable definitions</w:t>
      </w:r>
    </w:p>
    <w:p>
      <w:pPr>
        <w:pStyle w:val="Heading2"/>
      </w:pPr>
      <w:r>
        <w:t>2.1 Data source and structure</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raw file is used read-only; all cleaning and variable construction follow the definitions in Section 2.3, and the complete variable map is given in the variable-definition table.</w:t>
      </w:r>
    </w:p>
    <w:p>
      <w:pPr>
        <w:pStyle w:val="Heading2"/>
      </w:pPr>
      <w:r>
        <w:t>2.2 Sample screening and closure handling</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pPr>
        <w:pStyle w:val="Heading2"/>
      </w:pPr>
      <w:r>
        <w:t>2.3 Variable definitions</w:t>
      </w:r>
    </w:p>
    <w:p>
      <w:pPr>
        <w:spacing w:before="200" w:after="80"/>
      </w:pPr>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pPr>
        <w:pStyle w:val="Heading2"/>
      </w:pPr>
      <w:r>
        <w:t>2.4 Data-cleaning decisions and their rationale</w:t>
      </w:r>
    </w:p>
    <w:p>
      <w:pPr>
        <w:jc w:val="both"/>
      </w:pPr>
      <w:r>
        <w:rPr>
          <w:b w:val="0"/>
          <w:i w:val="0"/>
        </w:rPr>
        <w:t>The first set of decisions concerns missing values. Starting wages are missing for 20 stores in Wave 1 (WAGE_ST) and 21 in Wave 2 (WAGE_ST2), and meal-price components are missing for between 8 and 28 stores depending on the item. Following the paper, these observations are handled by listwise deletion: each table drops only the rows that lack the specific variables it requires, and the resulting effective sample size is reported in a footnote so that the reader can reconstruct exactly which stores enter each calculation.</w:t>
      </w:r>
    </w:p>
    <w:p>
      <w:pPr>
        <w:jc w:val="both"/>
      </w:pPr>
      <w:r>
        <w:rPr>
          <w:b w:val="0"/>
          <w:i w:val="0"/>
        </w:rPr>
        <w:t>Relatedly, no interpolation or imputation is applied anywhere in the pipeline. Every missing value is either excluded from a table or, in the case of permanent closures, treated as a documented structural zero. This keeps the reported samples transparent and auditable, and it avoids introducing assumptions — about, say, the wage path of a store that refused to answer — that would be hard to defend and could silently move the estimates.</w:t>
      </w:r>
    </w:p>
    <w:p>
      <w:pPr>
        <w:jc w:val="both"/>
      </w:pPr>
      <w:r>
        <w:rPr>
          <w:b w:val="0"/>
          <w:i w:val="0"/>
        </w:rPr>
        <w:t>A third decision concerns the Wave-2 recruiting-bonus variable. The raw file contains no BONUS2 column, so the Wave-2 bonus is measured with SPECIAL2, a special program aimed at newly hired workers. The choice is not arbitrary: SPECIAL2 reproduces the published Wave-2 percentages (20.3/23.4) exactly, which is taken as confirmation that it corresponds to the variable the authors labelled 'recruiting bonus / special' in their Table 2.</w:t>
      </w:r>
    </w:p>
    <w:p>
      <w:pPr>
        <w:jc w:val="both"/>
      </w:pPr>
      <w:r>
        <w:rPr>
          <w:b w:val="0"/>
          <w:i w:val="0"/>
        </w:rPr>
        <w:t>Finally, closure status is handled through explicit, documented rules rather than being silently absorbed into the data. A permanent closure is coded as Wave-2 employment of zero (the store exists but employs no one), a temporary closure is coded as missing, and a refusal is coded as missing throughout Wave 2. Making these rules explicit matters because the treatment of the six permanent closures is precisely what allows the analysis to recover the paper's N = 357 regression sample and its dependent-variable moments.</w:t>
      </w:r>
    </w:p>
    <w:p>
      <w:pPr>
        <w:pStyle w:val="Heading1"/>
      </w:pPr>
      <w:r>
        <w:t>3. Empirical design</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center"/>
      </w:pPr>
      <m:oMath>
        <m:r>
          <m:t xml:space="preserve">DID = (</m:t>
        </m:r>
        <m:sSub>
          <m:e>
            <m:r>
              <m:t xml:space="preserve">NJ</m:t>
            </m:r>
          </m:e>
          <m:sub>
            <m:r>
              <m:t xml:space="preserve">2</m:t>
            </m:r>
          </m:sub>
        </m:sSub>
        <m:r>
          <m:t xml:space="preserve"> − </m:t>
        </m:r>
        <m:sSub>
          <m:e>
            <m:r>
              <m:t xml:space="preserve">NJ</m:t>
            </m:r>
          </m:e>
          <m:sub>
            <m:r>
              <m:t xml:space="preserve">1</m:t>
            </m:r>
          </m:sub>
        </m:sSub>
        <m:r>
          <m:t xml:space="preserve">) − (</m:t>
        </m:r>
        <m:sSub>
          <m:e>
            <m:r>
              <m:t xml:space="preserve">PA</m:t>
            </m:r>
          </m:e>
          <m:sub>
            <m:r>
              <m:t xml:space="preserve">2</m:t>
            </m:r>
          </m:sub>
        </m:sSub>
        <m:r>
          <m:t xml:space="preserve"> − </m:t>
        </m:r>
        <m:sSub>
          <m:e>
            <m:r>
              <m:t xml:space="preserve">PA</m:t>
            </m:r>
          </m:e>
          <m:sub>
            <m:r>
              <m:t xml:space="preserve">1</m:t>
            </m:r>
          </m:sub>
        </m:sSub>
        <m:r>
          <m:t xml:space="preserve">)</m:t>
        </m:r>
      </m:oMath>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this paper reports Welch (unequal-variance) standard errors for the two-sample DID and heteroskedasticity-robust (HC1) errors for the regressions, and cross-validates every point estimate in Stata (Section 6).</w:t>
      </w:r>
    </w:p>
    <w:p>
      <w:pPr>
        <w:pStyle w:val="Heading1"/>
      </w:pPr>
      <w:r>
        <w:t>4. Core replication results and comparison with the original</w:t>
      </w:r>
    </w:p>
    <w:p>
      <w:pPr>
        <w:jc w:val="both"/>
      </w:pPr>
      <w:r>
        <w:rPr>
          <w:b w:val="0"/>
          <w:i w:val="0"/>
        </w:rPr>
        <w:t>All four targets reproduce the published figures to within rounding; the complete side-by-side verification is reported at the end of this section. This paper discusses each table in turn.</w:t>
      </w:r>
    </w:p>
    <w:p>
      <w:pPr>
        <w:pStyle w:val="Heading2"/>
      </w:pPr>
      <w:r>
        <w:t>4.1 Table 2 — descriptive statistics</w:t>
      </w:r>
    </w:p>
    <w:p>
      <w:pPr>
        <w:spacing w:before="200" w:after="80"/>
      </w:pPr>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pPr>
        <w:spacing w:before="200" w:after="80"/>
      </w:pPr>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pPr>
        <w:spacing w:before="200" w:after="80"/>
      </w:pPr>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pPr>
        <w:pStyle w:val="Heading2"/>
      </w:pPr>
      <w:r>
        <w:t>4.2 Table 3 — the core difference-in-differences</w:t>
      </w:r>
    </w:p>
    <w:p>
      <w:pPr>
        <w:spacing w:before="200" w:after="80"/>
      </w:pPr>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pPr>
        <w:pStyle w:val="Heading2"/>
      </w:pPr>
      <w:r>
        <w:t>4.3 Table 4 — reduced-form regressions</w:t>
      </w:r>
    </w:p>
    <w:p>
      <w:pPr>
        <w:spacing w:before="200" w:after="80"/>
      </w:pPr>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the replicated GAP coefficient is 11.98 (7.42) against the paper's 11.91 (7.39), a 0.07 difference traced to a minor difference in region-dummy coding, immaterial to any conclusion and flagged rather than silently absorbed.</w:t>
      </w:r>
    </w:p>
    <w:p>
      <w:pPr>
        <w:pStyle w:val="Heading2"/>
      </w:pPr>
      <w:r>
        <w:t>4.4 Figure 1 — wage distributions</w:t>
      </w:r>
    </w:p>
    <w:p>
      <w:pPr>
        <w:spacing w:before="200"/>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spacing w:after="200"/>
        <w:jc w:val="center"/>
      </w:pPr>
      <w:r>
        <w:rPr>
          <w:b w:val="0"/>
          <w:i/>
          <w:sz w:val="18"/>
        </w:rPr>
        <w:t>Figure 1 — Distribution of starting wage rates by state and survey wave (replication of CK94 Figure 1). Dashed vertical lines at $4.25 and $5.05.</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pPr>
        <w:pStyle w:val="Heading2"/>
      </w:pPr>
      <w:r>
        <w:t>4.5 Side-by-side replication summary</w:t>
      </w:r>
    </w:p>
    <w:p>
      <w:pPr>
        <w:spacing w:before="200" w:after="80"/>
      </w:pPr>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pPr>
        <w:pStyle w:val="Heading1"/>
      </w:pPr>
      <w:r>
        <w:t>5. Independent extension: ownership heterogeneity</w:t>
      </w:r>
    </w:p>
    <w:p>
      <w:pPr>
        <w:pStyle w:val="Heading2"/>
      </w:pPr>
      <w:r>
        <w:t>5.1 Question and motivation</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enables this project to test this directly.</w:t>
      </w:r>
    </w:p>
    <w:p>
      <w:pPr>
        <w:pStyle w:val="Heading2"/>
      </w:pPr>
      <w:r>
        <w:t>5.2 Design: a triple difference</w:t>
      </w:r>
    </w:p>
    <w:p>
      <w:pPr>
        <w:jc w:val="both"/>
      </w:pPr>
      <w:r>
        <w:rPr>
          <w:b w:val="0"/>
          <w:i w:val="0"/>
        </w:rPr>
        <w:t>This project estimates a triple difference (difference-in-differences-in-differences) on the balanced employment sample (N = 384):</w:t>
      </w:r>
    </w:p>
    <w:p>
      <w:pPr>
        <w:jc w:val="center"/>
      </w:pPr>
      <m:oMath>
        <m:r>
          <m:t xml:space="preserve">Δemp = α + β·STATE + γ·CO_OWNED + δ·(STATE×CO_OWNED) + ε</m:t>
        </m:r>
      </m:oMath>
    </w:p>
    <w:p>
      <w:pPr>
        <w:jc w:val="both"/>
      </w:pPr>
      <w:r>
        <w:rPr>
          <w:b w:val="0"/>
          <w:i w:val="0"/>
        </w:rPr>
        <w:t>where Δemp = fte2 − fte, STATE = 1 for New Jersey, and CO_OWNED = 1 for company-owned stores. The coefficient of interest is δ, the difference between the company-owned DID and the franchised DID.</w:t>
      </w:r>
    </w:p>
    <w:p>
      <w:pPr>
        <w:pStyle w:val="Heading2"/>
      </w:pPr>
      <w:r>
        <w:t>5.3 Results</w:t>
      </w:r>
    </w:p>
    <w:p>
      <w:pPr>
        <w:spacing w:before="200" w:after="80"/>
      </w:pPr>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pPr>
        <w:spacing w:before="200" w:after="80"/>
      </w:pPr>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pPr>
        <w:pStyle w:val="Heading2"/>
      </w:pPr>
      <w:r>
        <w:t>5.4 Diagnostics: a fragile estimate and its source</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pPr>
        <w:pStyle w:val="Heading2"/>
      </w:pPr>
      <w:r>
        <w:t>5.5 Interpretation</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spacing w:before="200"/>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spacing w:after="200"/>
        <w:jc w:val="center"/>
      </w:pPr>
      <w:r>
        <w:rPr>
          <w:b w:val="0"/>
          <w:i/>
          <w:sz w:val="18"/>
        </w:rPr>
        <w:t>Extension Figure — Employment response by store ownership: franchise vs. company-owned DID and the triple difference δ (95% confidence intervals).</w:t>
      </w:r>
    </w:p>
    <w:p>
      <w:pPr>
        <w:pStyle w:val="Heading1"/>
      </w:pPr>
      <w:r>
        <w:t>6. Validation, limitations, and conclusion</w:t>
      </w:r>
    </w:p>
    <w:p>
      <w:pPr>
        <w:pStyle w:val="Heading2"/>
      </w:pPr>
      <w:r>
        <w:t>6.1 Validation</w:t>
      </w:r>
    </w:p>
    <w:p>
      <w:pPr>
        <w:jc w:val="both"/>
      </w:pPr>
      <w:r>
        <w:rPr>
          <w:b w:val="0"/>
          <w:i w:val="0"/>
        </w:rPr>
        <w:t>Every replicated statistic was checked against the values transcribed from the published paper, and the pipeline was additionally cross-validated in Stata 17.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w:t>
      </w:r>
    </w:p>
    <w:p>
      <w:pPr>
        <w:pStyle w:val="Heading2"/>
      </w:pPr>
      <w:r>
        <w:t>6.2 Limitations</w:t>
      </w:r>
    </w:p>
    <w:p>
      <w:pPr>
        <w:jc w:val="both"/>
      </w:pPr>
      <w:r>
        <w:rPr>
          <w:b w:val="0"/>
          <w:i w:val="0"/>
        </w:rPr>
        <w:t>The first limitation concerns the identifying assumption. The design rests on the parallel-trends assumption that, absent the minimum-wage increase, employment in New Jersey and eastern Pennsylvania would have followed the same trajectory. The high-wage falsification test in Section 4 provides indirect support for this assumption — stores already paying at or above the new minimum behaved like Pennsylvania stores — but with only two survey waves the assumption cannot be tested directly, and no pre-period data are available with which to trace pre-trends.</w:t>
      </w:r>
    </w:p>
    <w:p>
      <w:pPr>
        <w:jc w:val="both"/>
      </w:pPr>
      <w:r>
        <w:rPr>
          <w:b w:val="0"/>
          <w:i w:val="0"/>
        </w:rPr>
        <w:t>The second limitation is the statistical power of the ownership extension. The triple difference is identified off a thin slice of the sample: there are only 26 company-owned stores in Pennsylvania, so the ownership-by-state interaction is estimated with a large standard error. Ownership is also strongly collinear with brand — company-owned stores are concentrated in KFC and Roy Rogers — and with store size, which makes it difficult to separate a genuine ownership effect from brand composition or size-driven mean reversion. As Section 5.4 shows, the point estimate is sensitive to controlling for initial store size, which is precisely why the null result is interpreted cautiously.</w:t>
      </w:r>
    </w:p>
    <w:p>
      <w:pPr>
        <w:jc w:val="both"/>
      </w:pPr>
      <w:r>
        <w:rPr>
          <w:b w:val="0"/>
          <w:i w:val="0"/>
        </w:rPr>
        <w:t>The third limitation concerns inference. The t-statistic of the core difference-in-differences estimate moves with the choice of standard errors — homoskedastic, heteroskedasticity-robust, or clustered by chain — although neither the point estimate, the sign, nor the economic magnitude changes. With only four chains, cluster-robust inference is itself fragile and is therefore reported only as a robustness check rather than as the headline specification.</w:t>
      </w:r>
    </w:p>
    <w:p>
      <w:pPr>
        <w:jc w:val="both"/>
      </w:pPr>
      <w:r>
        <w:rPr>
          <w:b w:val="0"/>
          <w:i w:val="0"/>
        </w:rPr>
        <w:t>Finally, the underlying store-level data are course-restricted and are not redistributed, which limits the ability of external readers to independently audit the raw records. Every variable-construction and sample-selection choice is nevertheless documented, so that all reported numbers can be traced once access to the data is available.</w:t>
      </w:r>
    </w:p>
    <w:p>
      <w:pPr>
        <w:pStyle w:val="Heading2"/>
      </w:pPr>
      <w:r>
        <w:t>6.3 Conclusion</w:t>
      </w:r>
    </w:p>
    <w:p>
      <w:pPr>
        <w:jc w:val="both"/>
      </w:pPr>
      <w:r>
        <w:rPr>
          <w:b w:val="0"/>
          <w:i w:val="0"/>
        </w:rPr>
        <w:t>This paper reproduces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This project's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pPr>
        <w:pStyle w:val="Heading1"/>
      </w:pPr>
      <w:r>
        <w:t>7. AI-use disclosure</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pPr>
        <w:spacing w:before="200" w:after="80"/>
      </w:pPr>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imes New Roman" w:hAnsi="Times New Roman" w:eastAsia="SimSu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imes New Roman" w:hAnsi="Times New Roman" w:eastAsia="SimSu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