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163181"/>
            <wp:docPr id="1" name="Picture 1" descr="DeskSideClock v2.4.0 タッチ操作領域と表示状態別の入力条件"/>
            <wp:cNvGraphicFramePr>
              <a:graphicFrameLocks noChangeAspect="1"/>
            </wp:cNvGraphicFramePr>
            <a:graphic>
              <a:graphicData uri="http://schemas.openxmlformats.org/drawingml/2006/picture">
                <pic:pic>
                  <pic:nvPicPr>
                    <pic:cNvPr id="0" name="touch_operation_layout_v2.4.0.png"/>
                    <pic:cNvPicPr/>
                  </pic:nvPicPr>
                  <pic:blipFill>
                    <a:blip r:embed="rId12"/>
                    <a:stretch>
                      <a:fillRect/>
                    </a:stretch>
                  </pic:blipFill>
                  <pic:spPr>
                    <a:xfrm>
                      <a:off x="0" y="0"/>
                      <a:ext cx="5623560" cy="3163181"/>
                    </a:xfrm>
                    <a:prstGeom prst="rect"/>
                  </pic:spPr>
                </pic:pic>
              </a:graphicData>
            </a:graphic>
          </wp:inline>
        </w:drawing>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