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rPr>
                <w:rFonts w:ascii="Arial" w:hAnsi="Arial"/>
                <w:sz w:val="17"/>
              </w:rPr>
              <w:t>v2.4.0（release）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rPr>
                <w:rFonts w:ascii="Arial" w:hAnsi="Arial"/>
                <w:sz w:val="17"/>
              </w:rPr>
              <w:t>v2.4.0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rPr>
                <w:rFonts w:ascii="Arial" w:hAnsi="Arial"/>
                <w:sz w:val="17"/>
              </w:rPr>
              <w:t>2026年10月12日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momopoem/deskclock</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rPr>
          <w:sz w:val="21"/>
        </w:rPr>
        <w:t>本書はDesk Side Clock v2.4.0の内部構造、責務分担、データ流、外部インターフェース、在室セッション制御、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sz w:val="21"/>
        </w:rPr>
        <w:t>メインループが入力イベント、NTP、表示・照明セッション、輝度、描画を更新する。センサーworkerは各物理デバイス単位でバックグラウンド実行する。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r>
          </w:p>
        </w:tc>
        <w:tc>
          <w:tcPr>
            <w:tcW w:type="dxa" w:w="2600"/>
            <w:tcMar>
              <w:top w:w="90" w:type="dxa"/>
              <w:start w:w="120" w:type="dxa"/>
              <w:bottom w:w="90" w:type="dxa"/>
              <w:end w:w="120" w:type="dxa"/>
            </w:tcMar>
            <w:vAlign w:val="center"/>
            <w:shd w:fill="F8FAFC"/>
          </w:tcPr>
          <w:p>
            <w:r>
              <w:rPr>
                <w:rFonts w:ascii="Arial" w:hAnsi="Arial"/>
                <w:sz w:val="17"/>
              </w:rPr>
            </w:r>
          </w:p>
        </w:tc>
        <w:tc>
          <w:tcPr>
            <w:tcW w:type="dxa" w:w="4060"/>
            <w:tcMar>
              <w:top w:w="90" w:type="dxa"/>
              <w:start w:w="120" w:type="dxa"/>
              <w:bottom w:w="90" w:type="dxa"/>
              <w:end w:w="120" w:type="dxa"/>
            </w:tcMar>
            <w:vAlign w:val="center"/>
            <w:shd w:fill="F8FAFC"/>
          </w:tcPr>
          <w:p>
            <w:r>
              <w:rPr>
                <w:rFonts w:ascii="Arial" w:hAnsi="Arial"/>
                <w:sz w:val="17"/>
              </w:rPr>
            </w:r>
          </w:p>
        </w:tc>
      </w:tr>
      <w:tr>
        <w:tc>
          <w:tcPr>
            <w:tcW w:type="dxa" w:w="2700"/>
            <w:tcMar>
              <w:top w:w="90" w:type="dxa"/>
              <w:start w:w="120" w:type="dxa"/>
              <w:bottom w:w="90" w:type="dxa"/>
              <w:end w:w="120" w:type="dxa"/>
            </w:tcMar>
            <w:vAlign w:val="center"/>
          </w:tcPr>
          <w:p>
            <w:r>
              <w:rPr>
                <w:rFonts w:ascii="Arial" w:hAnsi="Arial"/>
                <w:sz w:val="17"/>
              </w:rPr>
            </w:r>
          </w:p>
        </w:tc>
        <w:tc>
          <w:tcPr>
            <w:tcW w:type="dxa" w:w="2600"/>
            <w:tcMar>
              <w:top w:w="90" w:type="dxa"/>
              <w:start w:w="120" w:type="dxa"/>
              <w:bottom w:w="90" w:type="dxa"/>
              <w:end w:w="120" w:type="dxa"/>
            </w:tcMar>
            <w:vAlign w:val="center"/>
          </w:tcPr>
          <w:p>
            <w:r>
              <w:rPr>
                <w:rFonts w:ascii="Arial" w:hAnsi="Arial"/>
                <w:sz w:val="17"/>
              </w:rPr>
            </w:r>
          </w:p>
        </w:tc>
        <w:tc>
          <w:tcPr>
            <w:tcW w:type="dxa" w:w="4060"/>
            <w:tcMar>
              <w:top w:w="90" w:type="dxa"/>
              <w:start w:w="120" w:type="dxa"/>
              <w:bottom w:w="90" w:type="dxa"/>
              <w:end w:w="120" w:type="dxa"/>
            </w:tcMar>
            <w:vAlign w:val="center"/>
          </w:tcPr>
          <w:p>
            <w:r>
              <w:rPr>
                <w:rFonts w:ascii="Arial" w:hAnsi="Arial"/>
                <w:sz w:val="17"/>
              </w:rPr>
            </w:r>
          </w:p>
        </w:tc>
      </w:tr>
      <w:tr>
        <w:tc>
          <w:tcPr>
            <w:tcW w:type="dxa" w:w="2700"/>
            <w:tcMar>
              <w:top w:w="90" w:type="dxa"/>
              <w:start w:w="120" w:type="dxa"/>
              <w:bottom w:w="90" w:type="dxa"/>
              <w:end w:w="120" w:type="dxa"/>
            </w:tcMar>
            <w:vAlign w:val="center"/>
            <w:shd w:fill="F8FAFC"/>
          </w:tcPr>
          <w:p>
            <w:r>
              <w:rPr>
                <w:rFonts w:ascii="Arial" w:hAnsi="Arial"/>
                <w:sz w:val="17"/>
              </w:rPr>
            </w:r>
          </w:p>
        </w:tc>
        <w:tc>
          <w:tcPr>
            <w:tcW w:type="dxa" w:w="2600"/>
            <w:tcMar>
              <w:top w:w="90" w:type="dxa"/>
              <w:start w:w="120" w:type="dxa"/>
              <w:bottom w:w="90" w:type="dxa"/>
              <w:end w:w="120" w:type="dxa"/>
            </w:tcMar>
            <w:vAlign w:val="center"/>
            <w:shd w:fill="F8FAFC"/>
          </w:tcPr>
          <w:p>
            <w:r>
              <w:rPr>
                <w:rFonts w:ascii="Arial" w:hAnsi="Arial"/>
                <w:sz w:val="17"/>
              </w:rPr>
            </w:r>
          </w:p>
        </w:tc>
        <w:tc>
          <w:tcPr>
            <w:tcW w:type="dxa" w:w="4060"/>
            <w:tcMar>
              <w:top w:w="90" w:type="dxa"/>
              <w:start w:w="120" w:type="dxa"/>
              <w:bottom w:w="90" w:type="dxa"/>
              <w:end w:w="120" w:type="dxa"/>
            </w:tcMar>
            <w:vAlign w:val="center"/>
            <w:shd w:fill="F8FAFC"/>
          </w:tcPr>
          <w:p>
            <w:r>
              <w:rPr>
                <w:rFonts w:ascii="Arial" w:hAnsi="Arial"/>
                <w:sz w:val="17"/>
              </w:rPr>
            </w:r>
          </w:p>
        </w:tc>
      </w:tr>
      <w:tr>
        <w:tc>
          <w:tcPr>
            <w:tcW w:type="dxa" w:w="2700"/>
            <w:tcMar>
              <w:top w:w="90" w:type="dxa"/>
              <w:start w:w="120" w:type="dxa"/>
              <w:bottom w:w="90" w:type="dxa"/>
              <w:end w:w="120" w:type="dxa"/>
            </w:tcMar>
            <w:vAlign w:val="center"/>
          </w:tcPr>
          <w:p>
            <w:r>
              <w:rPr>
                <w:rFonts w:ascii="Arial" w:hAnsi="Arial"/>
                <w:sz w:val="17"/>
              </w:rPr>
            </w:r>
          </w:p>
        </w:tc>
        <w:tc>
          <w:tcPr>
            <w:tcW w:type="dxa" w:w="2600"/>
            <w:tcMar>
              <w:top w:w="90" w:type="dxa"/>
              <w:start w:w="120" w:type="dxa"/>
              <w:bottom w:w="90" w:type="dxa"/>
              <w:end w:w="120" w:type="dxa"/>
            </w:tcMar>
            <w:vAlign w:val="center"/>
          </w:tcPr>
          <w:p>
            <w:r>
              <w:rPr>
                <w:rFonts w:ascii="Arial" w:hAnsi="Arial"/>
                <w:sz w:val="17"/>
              </w:rPr>
            </w:r>
          </w:p>
        </w:tc>
        <w:tc>
          <w:tcPr>
            <w:tcW w:type="dxa" w:w="4060"/>
            <w:tcMar>
              <w:top w:w="90" w:type="dxa"/>
              <w:start w:w="120" w:type="dxa"/>
              <w:bottom w:w="90" w:type="dxa"/>
              <w:end w:w="120" w:type="dxa"/>
            </w:tcMar>
            <w:vAlign w:val="center"/>
          </w:tcPr>
          <w:p>
            <w:r>
              <w:rPr>
                <w:rFonts w:ascii="Arial" w:hAnsi="Arial"/>
                <w:sz w:val="17"/>
              </w:rPr>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温度へ-4.2℃、湿度は整数</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温湿度を変換。現行UI巡回外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校正式で温湿度気圧へ変換し、公開温度へ-4.5℃</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0.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実機画面に基づくタッチ操作領域（v2.4.0）</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タッチ操作領域（現行v2.4.0実装）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直近2秒以内の動き</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明所</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暗所かつ無検知180秒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減光開始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輝度0到達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OFF</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DIM後60秒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 OFF</w:t>
            </w:r>
          </w:p>
        </w:tc>
      </w:tr>
    </w:tbl>
    <w:p>
      <w:pPr>
        <w:spacing w:after="20"/>
      </w:pPr>
    </w:p>
    <w:p>
      <w:pPr>
        <w:pStyle w:val="Heading2"/>
        <w:keepNext/>
      </w:pPr>
      <w:bookmarkStart w:id="31" w:name="_Toc238979272"/>
      <w:r>
        <w:t>11.3 照明・顔認証</w:t>
      </w:r>
      <w:bookmarkEnd w:id="31"/>
    </w:p>
    <w:p>
      <w:r>
        <w:rPr>
          <w:sz w:val="21"/>
        </w:rPr>
        <w:t>DisplayLightControllerを表示・照明の唯一のセッション権限とする。PIR HIGHが0.6秒継続すると5分のセッションを開始／再設定し、表示と照明をONにする。認証済み本人顔は進行中のセッションを10分へ延長する。期限後は30秒の表示フェードを行い、完了時にHDMIと照明を同時にOFFする。固定背景のPIR再検知でも、PIRは5分へ戻すだけで顔認証の妥当性確認を省略しない。</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AHT21を正式情報源にする場合はINDOOR_SOURCES、鮮度判定、表示・受入仕様を同時に更新する。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DeskSideClock_基本設計書_v2.3.3</dc:title>
  <dc:subject>Desk Side Clock v2.3.3</dc:subject>
  <dc:creator/>
  <cp:keywords>Desk Side Clock, Raspberry Pi, software specification, basic design</cp:keywords>
  <dc:description>Generated from source revision v2.3.3 release tag</dc:description>
  <cp:lastModifiedBy/>
  <cp:revision>1</cp:revision>
  <dcterms:created xsi:type="dcterms:W3CDTF">2013-12-23T23:15:00Z</dcterms:created>
  <dcterms:modified xsi:type="dcterms:W3CDTF">2013-12-23T23:15:00Z</dcterms:modified>
  <cp:category/>
</cp:coreProperties>
</file>