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Siwa Wellness Resort Business Plan</w:t>
      </w:r>
    </w:p>
    <w:p>
      <w:pPr>
        <w:pStyle w:val="Heading1"/>
      </w:pPr>
      <w:r>
        <w:t>1. Executive Summary</w:t>
      </w:r>
    </w:p>
    <w:p>
      <w:r>
        <w:t>The Siwa Wellness Resort is a mid-range luxury retreat in Egypt’s Siwa Oasis, offering yoga and wellness retreats. Targeting group leaders and wellness influencers, the resort provides eco-friendly mud-brick huts, spa experiences, and curated cultural activities. The resort is designed to operate year-round, with strong revenue potential driven by advanced bookings and consistent group demand.</w:t>
      </w:r>
    </w:p>
    <w:p>
      <w:pPr>
        <w:pStyle w:val="Heading1"/>
      </w:pPr>
      <w:r>
        <w:t>2. Vision &amp; Mission</w:t>
      </w:r>
    </w:p>
    <w:p>
      <w:r>
        <w:t>Vision: To be Egypt's premier destination for transformative wellness travel.</w:t>
      </w:r>
    </w:p>
    <w:p>
      <w:r>
        <w:t>Mission: To provide a sustainable, authentic, and serene retreat space inspired by Siwa's heritage.</w:t>
      </w:r>
    </w:p>
    <w:p>
      <w:pPr>
        <w:pStyle w:val="Heading1"/>
      </w:pPr>
      <w:r>
        <w:t>3. Concept &amp; Design</w:t>
      </w:r>
    </w:p>
    <w:p>
      <w:r>
        <w:t>The resort will feature 15–20 eco huts, a yoga deck, spa, natural hot spring, communal firepit, and organic dining. Design language incorporates ancient Egyptian motifs with minimalist luxury and local artisan work.</w:t>
      </w:r>
    </w:p>
    <w:p>
      <w:pPr>
        <w:pStyle w:val="Heading1"/>
      </w:pPr>
      <w:r>
        <w:t>4. Target Market &amp; Opportunity</w:t>
      </w:r>
    </w:p>
    <w:p>
      <w:r>
        <w:t>Primary: Yoga instructors, spiritual coaches, mommy &amp; me retreat leaders, health influencers. Secondary: Digital nomads, eco-tourists, tour operators. The growing wellness travel market presents a clear opportunity.</w:t>
      </w:r>
    </w:p>
    <w:p>
      <w:pPr>
        <w:pStyle w:val="Heading1"/>
      </w:pPr>
      <w:r>
        <w:t>5. Site &amp; Location</w:t>
      </w:r>
    </w:p>
    <w:p>
      <w:r>
        <w:t>Located on 1.5 feddans (~1.55 acres) in Siwa with water, electricity, and licenses ready. Close to Oracle Temple, Salt Lakes, Cleopatra Spring, and the Great Sand Sea.</w:t>
      </w:r>
    </w:p>
    <w:p>
      <w:pPr>
        <w:pStyle w:val="Heading1"/>
      </w:pPr>
      <w:r>
        <w:t>6. Service Model &amp; Revenue Streams</w:t>
      </w:r>
    </w:p>
    <w:p>
      <w:r>
        <w:t>Revenue includes group rentals, spa services, gift shop sales, and add-ons like meals and excursions. Outsourced facilitators bring guests while the resort handles hospitality and experiences.</w:t>
      </w:r>
    </w:p>
    <w:p>
      <w:r>
        <w:rPr>
          <w:sz w:val="22"/>
        </w:rPr>
        <w:t>7. Operational Plan</w:t>
      </w:r>
    </w:p>
    <w:p>
      <w:r>
        <w:rPr>
          <w:sz w:val="22"/>
        </w:rPr>
        <w:t>- Lean Core Team: Manager, kitchen/hospitality staff, housekeepers, maintenance</w:t>
      </w:r>
    </w:p>
    <w:p>
      <w:r>
        <w:rPr>
          <w:sz w:val="22"/>
        </w:rPr>
        <w:t>- Outsourced Roles: Retreat leaders bring their own guests and facilitators</w:t>
      </w:r>
    </w:p>
    <w:p>
      <w:r>
        <w:rPr>
          <w:sz w:val="22"/>
        </w:rPr>
        <w:t>- Local Anchor: Hesham acts as fixer, guide, operations support, and staff recruiter</w:t>
      </w:r>
    </w:p>
    <w:p>
      <w:r>
        <w:rPr>
          <w:sz w:val="22"/>
        </w:rPr>
        <w:t>- Spa Outsourcing: Collaboration with Hathor Natural Cosmetics for spa treatments using their products. Hathor will cover their own staffing costs.</w:t>
      </w:r>
    </w:p>
    <w:p>
      <w:r>
        <w:rPr>
          <w:sz w:val="22"/>
        </w:rPr>
        <w:t>- Seasonal Strategy: Lower capacity expected from June–September due to heat</w:t>
      </w:r>
    </w:p>
    <w:p>
      <w:r>
        <w:rPr>
          <w:sz w:val="22"/>
        </w:rPr>
      </w:r>
    </w:p>
    <w:p>
      <w:r>
        <w:rPr>
          <w:sz w:val="22"/>
        </w:rPr>
        <w:t>Operational Expense Modeling</w:t>
      </w:r>
    </w:p>
    <w:p>
      <w:r>
        <w:t>Monthly Staff Cost Estimate</w:t>
      </w:r>
    </w:p>
    <w:p>
      <w:r>
        <w:rPr>
          <w:sz w:val="22"/>
        </w:rPr>
        <w:t>To ensure conservative financial planning, all estimated monthly costs for food, amenities, and operational supplies are based on retail pricing from Amazon and Hyper One supermarkets in Egypt — totaling approximately 148,000 EGP/month.</w:t>
      </w:r>
    </w:p>
    <w:p>
      <w:r>
        <w:rPr>
          <w:sz w:val="22"/>
        </w:rPr>
        <w:t>However, upon launch, the resort will source from wholesale suppliers at significantly lower prices.</w:t>
      </w:r>
    </w:p>
    <w:p>
      <w:r>
        <w:rPr>
          <w:sz w:val="22"/>
        </w:rPr>
        <w:t>By modeling potential wholesale savings of 20% to 30%, monthly operational costs could drop to 118,400–103,600 EGP, reflecting savings of up to 44,400 EGP/month.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erational_Costs_Compari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2"/>
        </w:rPr>
        <w:t>This strategic margin buffer strengthens the business model, enhances EBITDA potential, and demonstrates resilience even under high-cost scenarios.</w:t>
      </w:r>
    </w:p>
    <w:p>
      <w:pPr>
        <w:pStyle w:val="Heading1"/>
      </w:pPr>
      <w:r/>
    </w:p>
    <w:p>
      <w:r/>
    </w:p>
    <w:p>
      <w:pPr>
        <w:pStyle w:val="Heading2"/>
      </w:pPr>
      <w:r>
        <w:t>Hotel Amenities &amp; Supplies Estimate</w:t>
      </w:r>
    </w:p>
    <w:p>
      <w:r>
        <w:t>To support 10–12 guests on a weekly basis, the resort will require a combination of refillable amenities, cleaning materials, and pool maintenance supplies. This list has been priced based on retail sources (Hyper One &amp; Amazon Egypt), assuming the worst-case cost scenario. Actual operational pricing is expected to be 20–30% lower when purchased wholesale. The monthly total for guest amenities, laundry supplies, and pool maintenance is approximately 18,000 EGP.</w:t>
        <w:br/>
        <w:br/>
      </w:r>
    </w:p>
    <w:p>
      <w:pPr>
        <w:pStyle w:val="Heading2"/>
      </w:pPr>
      <w:r>
        <w:t>Food &amp; Beverage Cost Estimate</w:t>
      </w:r>
    </w:p>
    <w:p>
      <w:r>
        <w:t>To support a rotating guest base and staff, the estimated food cost is based on 3-day cycles covering proteins, dairy, grains, and fresh produce. The following quantities represent retail pricing estimates gathered from Amazon and Hyper One, which act as a conservative benchmark. Final operational costs are expected to be 20–30% lower when sourcing from wholesale partners. Total estimated monthly cost for food is approximately 130,000 EGP.</w:t>
        <w:br/>
        <w:br/>
        <w:t>Breakdown for 3 Days:</w:t>
        <w:br/>
        <w:t>- Chicken: 10–12 kg (2,000 EGP) — mix of 6 kg breast and 4 kg thighs</w:t>
        <w:br/>
        <w:t>- Beef/Lamb: 7–9 kg (4,500 EGP) — includes tenderloin, kofta, entrecôte</w:t>
        <w:br/>
        <w:t>- Fish: 7–9 kg (1,300 EGP) — frozen fillets</w:t>
        <w:br/>
        <w:t>- Eggs: 100–120 eggs (450 EGP)</w:t>
        <w:br/>
        <w:t>- Fresh Vegetables: 18–20 kg (650 EGP)</w:t>
        <w:br/>
        <w:t>- Fresh Fruit: 10–12 kg (1,000 EGP)</w:t>
        <w:br/>
        <w:t>- Milk/Dairy: 12–15 L milk (470 EGP), 6–9 kg yogurt (300 EGP), 4–6 kg cheese (1,500 EGP)</w:t>
        <w:br/>
        <w:t>- Grains/Carbs: 5–7 kg (250 EGP) — 4 kg rice, 4 kg pasta</w:t>
        <w:br/>
        <w:t>- Oil, spices, condiments: bulk monthly estimate (4,000 EGP)</w:t>
      </w:r>
    </w:p>
    <w:p>
      <w:pPr>
        <w:pStyle w:val="Heading1"/>
      </w:pPr>
      <w:r>
        <w:t>8. Competitive Advantage</w:t>
      </w:r>
    </w:p>
    <w:p>
      <w:r>
        <w:t>Unique location and eco design, a trusted local partner, cultural immersion, ready infrastructure, influencer partnerships, and exclusive Hathor-powered spa make this resort a top-tier retreat venue.</w:t>
      </w:r>
    </w:p>
    <w:p>
      <w:pPr>
        <w:pStyle w:val="Heading1"/>
      </w:pPr>
      <w:r>
        <w:t>9. Suggested Experiences &amp; Activities</w:t>
      </w:r>
    </w:p>
    <w:p>
      <w:pPr>
        <w:pStyle w:val="ListBullet"/>
      </w:pPr>
      <w:r>
        <w:t>Mr. Abdullah’s Telescope &amp; Stargazing Night</w:t>
      </w:r>
    </w:p>
    <w:p>
      <w:pPr>
        <w:pStyle w:val="ListBullet"/>
      </w:pPr>
      <w:r>
        <w:t>Natural Hot Spring Soak</w:t>
      </w:r>
    </w:p>
    <w:p>
      <w:pPr>
        <w:pStyle w:val="ListBullet"/>
      </w:pPr>
      <w:r>
        <w:t>Salt Lake Plunge</w:t>
      </w:r>
    </w:p>
    <w:p>
      <w:pPr>
        <w:pStyle w:val="ListBullet"/>
      </w:pPr>
      <w:r>
        <w:t>Loweesa Tea Ritual by bonfire or hot spring</w:t>
      </w:r>
    </w:p>
    <w:p>
      <w:pPr>
        <w:pStyle w:val="ListBullet"/>
      </w:pPr>
      <w:r>
        <w:t>Desert Safari with Bedouin guides</w:t>
      </w:r>
    </w:p>
    <w:p>
      <w:pPr>
        <w:pStyle w:val="Heading1"/>
      </w:pPr>
      <w:r>
        <w:t>10. SWOT Analysis</w:t>
      </w:r>
    </w:p>
    <w:p>
      <w:r>
        <w:t>Strengths: Unique location, strong niche, Hesham’s network, Hathor spa tie-in</w:t>
      </w:r>
    </w:p>
    <w:p>
      <w:r>
        <w:t>Weaknesses: Remote location, seasonal heat, infrastructure limitations</w:t>
      </w:r>
    </w:p>
    <w:p>
      <w:r>
        <w:t>Opportunities: Growing wellness market, influencer travel, retreat diversity</w:t>
      </w:r>
    </w:p>
    <w:p>
      <w:r>
        <w:t>Threats: Economic/political instability, competition, tourism sensitivity</w:t>
      </w:r>
    </w:p>
    <w:p>
      <w:pPr>
        <w:pStyle w:val="Heading1"/>
      </w:pPr>
      <w:r>
        <w:t>11. Facilities Overview</w:t>
      </w:r>
    </w:p>
    <w:p>
      <w:r>
        <w:t>Land, pool, kitchen, restaurant, spa, eco huts, yoga space, cold room, gift shop, and staff housing. Estimated cost: 14.7M–18.95M EGP.</w:t>
      </w:r>
    </w:p>
    <w:p>
      <w:pPr>
        <w:pStyle w:val="Heading1"/>
      </w:pPr>
      <w:r>
        <w:t>12. Financial Forecast (3-Year Summary)</w:t>
      </w:r>
    </w:p>
    <w:p>
      <w:r>
        <w:t>Average nightly rate: 250 USD (~12,645 EGP). 70% occupancy. 20 rooms.</w:t>
      </w:r>
    </w:p>
    <w:p>
      <w:r>
        <w:t>Year 1 Revenue: 52M | EBITDA: 34M</w:t>
      </w:r>
    </w:p>
    <w:p>
      <w:r>
        <w:t>Year 2 Revenue: 69.3M | EBITDA: 47.3M</w:t>
      </w:r>
    </w:p>
    <w:p>
      <w:r>
        <w:t>Year 3 Revenue: 74.3M | EBITDA: 50.3M</w:t>
      </w:r>
    </w:p>
    <w:p>
      <w:pPr>
        <w:pStyle w:val="Heading1"/>
      </w:pPr>
      <w:r>
        <w:t>13. Investment Ask &amp; Use of Funds</w:t>
      </w:r>
    </w:p>
    <w:p>
      <w:r>
        <w:t>Total needed: 19M EGP | Equity offered: up to 40%</w:t>
      </w:r>
    </w:p>
    <w:p>
      <w:r>
        <w:t>Funds go toward land, buildout, spa, furnishings, marketing, and working capital.</w:t>
      </w:r>
    </w:p>
    <w:p>
      <w:pPr>
        <w:pStyle w:val="Heading1"/>
      </w:pPr>
      <w:r>
        <w:t>14. Development Timeline</w:t>
      </w:r>
    </w:p>
    <w:p>
      <w:r>
        <w:t>Month 1–2: Acquire land &amp; permits</w:t>
        <w:br/>
        <w:t>Month 3–6: Construction</w:t>
        <w:br/>
        <w:t>Month 7: Hiring &amp; soft launch</w:t>
        <w:br/>
        <w:t>Month 8: Trial retreat</w:t>
        <w:br/>
        <w:t>Month 9: Full launch</w:t>
      </w:r>
    </w:p>
    <w:p>
      <w:pPr>
        <w:pStyle w:val="Heading1"/>
      </w:pPr>
      <w:r>
        <w:t>15. Contact</w:t>
      </w:r>
    </w:p>
    <w:p>
      <w:r>
        <w:t>[Your Name]</w:t>
        <w:br/>
        <w:t>[Email]</w:t>
        <w:br/>
        <w:t>[Phone]</w:t>
      </w:r>
    </w:p>
    <w:p>
      <w:r>
        <w:br w:type="page"/>
      </w:r>
    </w:p>
    <w:p>
      <w:pPr>
        <w:pStyle w:val="Heading1"/>
      </w:pPr>
      <w:r>
        <w:t>16. Financial Projections Chart</w:t>
      </w:r>
    </w:p>
    <w:p>
      <w:r>
        <w:t>Visual chart of revenue, expenses, and EBITDA over the first 3 years.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wa_Wellness_Financial_Projec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Monthly Salary (EGP)</w:t>
            </w:r>
          </w:p>
        </w:tc>
        <w:tc>
          <w:tcPr>
            <w:tcW w:type="dxa" w:w="2160"/>
          </w:tcPr>
          <w:p>
            <w:r>
              <w:t>Total (EGP)</w:t>
            </w:r>
          </w:p>
        </w:tc>
      </w:tr>
      <w:tr>
        <w:tc>
          <w:tcPr>
            <w:tcW w:type="dxa" w:w="2160"/>
          </w:tcPr>
          <w:p>
            <w:r>
              <w:t>General Manager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20,000</w:t>
            </w:r>
          </w:p>
        </w:tc>
        <w:tc>
          <w:tcPr>
            <w:tcW w:type="dxa" w:w="2160"/>
          </w:tcPr>
          <w:p>
            <w:r>
              <w:t>20,000</w:t>
            </w:r>
          </w:p>
        </w:tc>
      </w:tr>
      <w:tr>
        <w:tc>
          <w:tcPr>
            <w:tcW w:type="dxa" w:w="2160"/>
          </w:tcPr>
          <w:p>
            <w:r>
              <w:t>Front Desk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12,000</w:t>
            </w:r>
          </w:p>
        </w:tc>
        <w:tc>
          <w:tcPr>
            <w:tcW w:type="dxa" w:w="2160"/>
          </w:tcPr>
          <w:p>
            <w:r>
              <w:t>24,000</w:t>
            </w:r>
          </w:p>
        </w:tc>
      </w:tr>
      <w:tr>
        <w:tc>
          <w:tcPr>
            <w:tcW w:type="dxa" w:w="2160"/>
          </w:tcPr>
          <w:p>
            <w:r>
              <w:t>Housekeeping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8,000</w:t>
            </w:r>
          </w:p>
        </w:tc>
        <w:tc>
          <w:tcPr>
            <w:tcW w:type="dxa" w:w="2160"/>
          </w:tcPr>
          <w:p>
            <w:r>
              <w:t>64,000</w:t>
            </w:r>
          </w:p>
        </w:tc>
      </w:tr>
      <w:tr>
        <w:tc>
          <w:tcPr>
            <w:tcW w:type="dxa" w:w="2160"/>
          </w:tcPr>
          <w:p>
            <w:r>
              <w:t>Kitchen Staff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8,000</w:t>
            </w:r>
          </w:p>
        </w:tc>
        <w:tc>
          <w:tcPr>
            <w:tcW w:type="dxa" w:w="2160"/>
          </w:tcPr>
          <w:p>
            <w:r>
              <w:t>32,000</w:t>
            </w:r>
          </w:p>
        </w:tc>
      </w:tr>
      <w:tr>
        <w:tc>
          <w:tcPr>
            <w:tcW w:type="dxa" w:w="2160"/>
          </w:tcPr>
          <w:p>
            <w:r>
              <w:t>Admin (Finance)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12,000</w:t>
            </w:r>
          </w:p>
        </w:tc>
        <w:tc>
          <w:tcPr>
            <w:tcW w:type="dxa" w:w="2160"/>
          </w:tcPr>
          <w:p>
            <w:r>
              <w:t>12,000</w:t>
            </w:r>
          </w:p>
        </w:tc>
      </w:tr>
      <w:tr>
        <w:tc>
          <w:tcPr>
            <w:tcW w:type="dxa" w:w="2160"/>
          </w:tcPr>
          <w:p>
            <w:r>
              <w:t>Gardeners / Janitors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8,000</w:t>
            </w:r>
          </w:p>
        </w:tc>
        <w:tc>
          <w:tcPr>
            <w:tcW w:type="dxa" w:w="2160"/>
          </w:tcPr>
          <w:p>
            <w:r>
              <w:t>32,000</w:t>
            </w:r>
          </w:p>
        </w:tc>
      </w:tr>
      <w:tr>
        <w:tc>
          <w:tcPr>
            <w:tcW w:type="dxa" w:w="2160"/>
          </w:tcPr>
          <w:p>
            <w:r>
              <w:t>Utilities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20,000</w:t>
            </w:r>
          </w:p>
        </w:tc>
      </w:tr>
      <w:tr>
        <w:tc>
          <w:tcPr>
            <w:tcW w:type="dxa" w:w="2160"/>
          </w:tcPr>
          <w:p>
            <w:r>
              <w:t>Total Estimated Monthly Cost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200,000 – 210,000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