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22F6" w14:textId="0CDA124C" w:rsidR="00611345" w:rsidRPr="00FF2467" w:rsidRDefault="00FF2467" w:rsidP="00FF2467">
      <w:pPr>
        <w:pStyle w:val="Heading1"/>
        <w:spacing w:before="0"/>
        <w:jc w:val="center"/>
      </w:pPr>
      <w:r w:rsidRPr="00FF2467">
        <w:t>Lecture 6 Answers</w:t>
      </w:r>
    </w:p>
    <w:p w14:paraId="11D0DEF6" w14:textId="77777777" w:rsidR="00FF2467" w:rsidRDefault="00FF2467" w:rsidP="00FF2467">
      <w:pPr>
        <w:pStyle w:val="Heading2"/>
      </w:pPr>
    </w:p>
    <w:p w14:paraId="26E4FC27" w14:textId="24FCADD3" w:rsidR="004A7239" w:rsidRDefault="004A7239" w:rsidP="00FF2467">
      <w:pPr>
        <w:pStyle w:val="Heading2"/>
      </w:pPr>
      <w:r>
        <w:t>Question One</w:t>
      </w:r>
    </w:p>
    <w:p w14:paraId="0CA544AF" w14:textId="77777777" w:rsidR="00FF2467" w:rsidRPr="00FF2467" w:rsidRDefault="00FF2467" w:rsidP="00FF2467"/>
    <w:p w14:paraId="39AA3444" w14:textId="733967AB" w:rsidR="004A7239" w:rsidRPr="00FF2467" w:rsidRDefault="004A7239" w:rsidP="00FF246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FF2467">
        <w:rPr>
          <w:rFonts w:eastAsia="Times New Roman" w:cs="Arial"/>
          <w:color w:val="000000" w:themeColor="dark1"/>
          <w:kern w:val="24"/>
          <w:sz w:val="24"/>
          <w:szCs w:val="24"/>
          <w:lang w:eastAsia="en-GB"/>
        </w:rPr>
        <w:t>Break</w:t>
      </w:r>
      <w:r w:rsidR="00841E8B" w:rsidRPr="00FF2467">
        <w:rPr>
          <w:rFonts w:eastAsia="Times New Roman" w:cs="Arial"/>
          <w:color w:val="000000" w:themeColor="dark1"/>
          <w:kern w:val="24"/>
          <w:sz w:val="24"/>
          <w:szCs w:val="24"/>
          <w:lang w:eastAsia="en-GB"/>
        </w:rPr>
        <w:t>-</w:t>
      </w:r>
      <w:r w:rsidRPr="00FF2467">
        <w:rPr>
          <w:rFonts w:eastAsia="Times New Roman" w:cs="Arial"/>
          <w:color w:val="000000" w:themeColor="dark1"/>
          <w:kern w:val="24"/>
          <w:sz w:val="24"/>
          <w:szCs w:val="24"/>
          <w:lang w:eastAsia="en-GB"/>
        </w:rPr>
        <w:t>even point (</w:t>
      </w:r>
      <w:proofErr w:type="gramStart"/>
      <w:r w:rsidRPr="00FF2467">
        <w:rPr>
          <w:rFonts w:eastAsia="Times New Roman" w:cs="Arial"/>
          <w:color w:val="000000" w:themeColor="dark1"/>
          <w:kern w:val="24"/>
          <w:sz w:val="24"/>
          <w:szCs w:val="24"/>
          <w:lang w:eastAsia="en-GB"/>
        </w:rPr>
        <w:t xml:space="preserve">BEP)   </w:t>
      </w:r>
      <w:proofErr w:type="gramEnd"/>
      <w:r w:rsidRPr="00FF2467">
        <w:rPr>
          <w:rFonts w:eastAsia="Times New Roman" w:cs="Arial"/>
          <w:color w:val="000000" w:themeColor="dark1"/>
          <w:kern w:val="24"/>
          <w:sz w:val="24"/>
          <w:szCs w:val="24"/>
          <w:lang w:eastAsia="en-GB"/>
        </w:rPr>
        <w:t xml:space="preserve">    = </w:t>
      </w:r>
      <w:r w:rsidRPr="00FF2467">
        <w:rPr>
          <w:rFonts w:eastAsia="Times New Roman" w:cs="Arial"/>
          <w:color w:val="000000" w:themeColor="dark1"/>
          <w:kern w:val="24"/>
          <w:sz w:val="24"/>
          <w:szCs w:val="24"/>
          <w:u w:val="single"/>
          <w:lang w:eastAsia="en-GB"/>
        </w:rPr>
        <w:t xml:space="preserve"> </w:t>
      </w:r>
      <w:r w:rsidRPr="00FF2467">
        <w:rPr>
          <w:rFonts w:eastAsia="Times New Roman" w:cs="Arial"/>
          <w:color w:val="000000" w:themeColor="dark1"/>
          <w:kern w:val="24"/>
          <w:sz w:val="24"/>
          <w:szCs w:val="24"/>
          <w:u w:val="single"/>
          <w:lang w:eastAsia="en-GB"/>
        </w:rPr>
        <w:tab/>
      </w:r>
      <w:r w:rsidR="00841E8B" w:rsidRPr="00FF2467">
        <w:rPr>
          <w:rFonts w:eastAsia="Times New Roman" w:cs="Arial"/>
          <w:color w:val="000000" w:themeColor="dark1"/>
          <w:kern w:val="24"/>
          <w:sz w:val="24"/>
          <w:szCs w:val="24"/>
          <w:u w:val="single"/>
          <w:lang w:eastAsia="en-GB"/>
        </w:rPr>
        <w:t xml:space="preserve">                   </w:t>
      </w:r>
      <w:r w:rsidRPr="00FF2467">
        <w:rPr>
          <w:rFonts w:eastAsia="Times New Roman" w:cs="Arial"/>
          <w:color w:val="000000" w:themeColor="dark1"/>
          <w:kern w:val="24"/>
          <w:sz w:val="24"/>
          <w:szCs w:val="24"/>
          <w:u w:val="single"/>
          <w:lang w:eastAsia="en-GB"/>
        </w:rPr>
        <w:t>Fixed Costs</w:t>
      </w:r>
    </w:p>
    <w:p w14:paraId="51A3F536" w14:textId="77777777" w:rsidR="004A7239" w:rsidRDefault="004A7239" w:rsidP="004A7239">
      <w:pPr>
        <w:ind w:left="2160" w:firstLine="720"/>
        <w:rPr>
          <w:rFonts w:eastAsiaTheme="minorEastAsia" w:hAnsi="Calibri"/>
          <w:color w:val="000000"/>
          <w:kern w:val="24"/>
          <w:sz w:val="24"/>
          <w:szCs w:val="24"/>
          <w:lang w:eastAsia="en-GB"/>
        </w:rPr>
      </w:pPr>
      <w:r w:rsidRPr="004A7239"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>Contribution per Unit</w:t>
      </w:r>
    </w:p>
    <w:p w14:paraId="1A02F0A9" w14:textId="77777777" w:rsidR="004A7239" w:rsidRDefault="004A7239" w:rsidP="004A7239">
      <w:pPr>
        <w:ind w:left="1440" w:hanging="1440"/>
        <w:rPr>
          <w:rFonts w:eastAsiaTheme="minorEastAsia" w:hAnsi="Calibri"/>
          <w:color w:val="000000"/>
          <w:kern w:val="24"/>
          <w:sz w:val="24"/>
          <w:szCs w:val="24"/>
          <w:lang w:eastAsia="en-GB"/>
        </w:rPr>
      </w:pP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 xml:space="preserve">BEP = </w:t>
      </w: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ab/>
      </w:r>
      <w:r w:rsidRPr="004A7239">
        <w:rPr>
          <w:rFonts w:eastAsiaTheme="minorEastAsia" w:hAnsi="Calibri"/>
          <w:color w:val="000000"/>
          <w:kern w:val="24"/>
          <w:sz w:val="24"/>
          <w:szCs w:val="24"/>
          <w:u w:val="single"/>
          <w:lang w:eastAsia="en-GB"/>
        </w:rPr>
        <w:tab/>
      </w:r>
      <w:r w:rsidRPr="004A7239">
        <w:rPr>
          <w:rFonts w:eastAsiaTheme="minorEastAsia" w:hAnsi="Calibri"/>
          <w:color w:val="000000"/>
          <w:kern w:val="24"/>
          <w:sz w:val="24"/>
          <w:szCs w:val="24"/>
          <w:u w:val="single"/>
          <w:lang w:eastAsia="en-GB"/>
        </w:rPr>
        <w:tab/>
        <w:t>Fixed costs</w:t>
      </w: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 xml:space="preserve">    </w:t>
      </w: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ab/>
      </w: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ab/>
      </w: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ab/>
      </w: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ab/>
      </w: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ab/>
        <w:t xml:space="preserve">                         </w:t>
      </w: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ab/>
        <w:t xml:space="preserve">                                                            Selling price –</w:t>
      </w:r>
      <w:r w:rsidR="00841E8B"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 xml:space="preserve"> V</w:t>
      </w: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>ariable cost</w:t>
      </w:r>
    </w:p>
    <w:p w14:paraId="7DD74747" w14:textId="77777777" w:rsidR="004A7239" w:rsidRDefault="004A7239" w:rsidP="004A7239">
      <w:pPr>
        <w:ind w:left="1440" w:hanging="1440"/>
        <w:rPr>
          <w:rFonts w:eastAsiaTheme="minorEastAsia" w:hAnsi="Calibri"/>
          <w:color w:val="000000"/>
          <w:kern w:val="24"/>
          <w:sz w:val="24"/>
          <w:szCs w:val="24"/>
          <w:lang w:eastAsia="en-GB"/>
        </w:rPr>
      </w:pPr>
    </w:p>
    <w:p w14:paraId="46D65E5C" w14:textId="77777777" w:rsidR="004A7239" w:rsidRDefault="004A7239" w:rsidP="00D908E2">
      <w:pPr>
        <w:ind w:left="1440" w:hanging="1440"/>
        <w:rPr>
          <w:rFonts w:eastAsiaTheme="minorEastAsia" w:hAnsi="Calibri"/>
          <w:color w:val="000000"/>
          <w:kern w:val="24"/>
          <w:sz w:val="24"/>
          <w:szCs w:val="24"/>
          <w:lang w:eastAsia="en-GB"/>
        </w:rPr>
      </w:pP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 xml:space="preserve">BEP = </w:t>
      </w: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ab/>
      </w:r>
      <w:r w:rsidRPr="004A7239">
        <w:rPr>
          <w:rFonts w:eastAsiaTheme="minorEastAsia" w:hAnsi="Calibri"/>
          <w:color w:val="000000"/>
          <w:kern w:val="24"/>
          <w:sz w:val="24"/>
          <w:szCs w:val="24"/>
          <w:u w:val="single"/>
          <w:lang w:eastAsia="en-GB"/>
        </w:rPr>
        <w:t xml:space="preserve">£90,000 +£150,000      </w:t>
      </w: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 xml:space="preserve">=   </w:t>
      </w:r>
      <w:r w:rsidRPr="004A7239">
        <w:rPr>
          <w:rFonts w:eastAsiaTheme="minorEastAsia" w:hAnsi="Calibri"/>
          <w:color w:val="000000"/>
          <w:kern w:val="24"/>
          <w:sz w:val="24"/>
          <w:szCs w:val="24"/>
          <w:u w:val="single"/>
          <w:lang w:eastAsia="en-GB"/>
        </w:rPr>
        <w:t xml:space="preserve">£240,000 </w:t>
      </w: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 xml:space="preserve">             = 16,000 pairs of shoes                                           </w:t>
      </w: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ab/>
        <w:t>£40-£25</w:t>
      </w: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ab/>
        <w:t xml:space="preserve">       £15</w:t>
      </w:r>
    </w:p>
    <w:p w14:paraId="28EEDB18" w14:textId="1AF3805D" w:rsidR="00841E8B" w:rsidRPr="00FF2467" w:rsidRDefault="00841E8B" w:rsidP="00FF2467">
      <w:pPr>
        <w:pStyle w:val="ListParagraph"/>
        <w:numPr>
          <w:ilvl w:val="0"/>
          <w:numId w:val="4"/>
        </w:numPr>
        <w:rPr>
          <w:rFonts w:eastAsia="Times New Roman" w:cs="Arial"/>
          <w:color w:val="000000" w:themeColor="dark1"/>
          <w:kern w:val="24"/>
          <w:sz w:val="24"/>
          <w:szCs w:val="24"/>
          <w:lang w:eastAsia="en-GB"/>
        </w:rPr>
      </w:pPr>
      <w:r w:rsidRPr="00FF2467">
        <w:rPr>
          <w:rFonts w:eastAsia="Times New Roman" w:cs="Arial"/>
          <w:color w:val="000000" w:themeColor="dark1"/>
          <w:kern w:val="24"/>
          <w:sz w:val="24"/>
          <w:szCs w:val="24"/>
          <w:lang w:eastAsia="en-GB"/>
        </w:rPr>
        <w:t xml:space="preserve">Margin of safety: 24,000 – 16,000 = 8,000 </w:t>
      </w:r>
    </w:p>
    <w:p w14:paraId="6E58023B" w14:textId="77777777" w:rsidR="00841E8B" w:rsidRDefault="00841E8B" w:rsidP="00841E8B">
      <w:pPr>
        <w:rPr>
          <w:rFonts w:ascii="Calibri" w:eastAsia="Times New Roman" w:hAnsi="Calibri" w:cs="Arial"/>
          <w:color w:val="000000" w:themeColor="dark1"/>
          <w:kern w:val="24"/>
          <w:sz w:val="24"/>
          <w:szCs w:val="24"/>
          <w:lang w:eastAsia="en-GB"/>
        </w:rPr>
      </w:pPr>
      <w:r>
        <w:rPr>
          <w:rFonts w:ascii="Calibri" w:eastAsia="Times New Roman" w:hAnsi="Calibri" w:cs="Arial"/>
          <w:color w:val="000000" w:themeColor="dark1"/>
          <w:kern w:val="24"/>
          <w:sz w:val="24"/>
          <w:szCs w:val="24"/>
          <w:lang w:eastAsia="en-GB"/>
        </w:rPr>
        <w:t>Margin of safety (</w:t>
      </w:r>
      <w:proofErr w:type="gramStart"/>
      <w:r>
        <w:rPr>
          <w:rFonts w:ascii="Calibri" w:eastAsia="Times New Roman" w:hAnsi="Calibri" w:cs="Arial"/>
          <w:color w:val="000000" w:themeColor="dark1"/>
          <w:kern w:val="24"/>
          <w:sz w:val="24"/>
          <w:szCs w:val="24"/>
          <w:lang w:eastAsia="en-GB"/>
        </w:rPr>
        <w:t>%)=</w:t>
      </w:r>
      <w:proofErr w:type="gramEnd"/>
      <w:r>
        <w:rPr>
          <w:rFonts w:ascii="Calibri" w:eastAsia="Times New Roman" w:hAnsi="Calibri" w:cs="Arial"/>
          <w:color w:val="000000" w:themeColor="dark1"/>
          <w:kern w:val="24"/>
          <w:sz w:val="24"/>
          <w:szCs w:val="24"/>
          <w:lang w:eastAsia="en-GB"/>
        </w:rPr>
        <w:t xml:space="preserve">  </w:t>
      </w:r>
      <w:r w:rsidRPr="00841E8B">
        <w:rPr>
          <w:rFonts w:ascii="Calibri" w:eastAsia="Times New Roman" w:hAnsi="Calibri" w:cs="Arial"/>
          <w:color w:val="000000" w:themeColor="dark1"/>
          <w:kern w:val="24"/>
          <w:sz w:val="24"/>
          <w:szCs w:val="24"/>
          <w:lang w:eastAsia="en-GB"/>
        </w:rPr>
        <w:t>8,000</w:t>
      </w:r>
      <w:r>
        <w:rPr>
          <w:rFonts w:ascii="Calibri" w:eastAsia="Times New Roman" w:hAnsi="Calibri" w:cs="Arial"/>
          <w:color w:val="000000" w:themeColor="dark1"/>
          <w:kern w:val="24"/>
          <w:sz w:val="24"/>
          <w:szCs w:val="24"/>
          <w:lang w:eastAsia="en-GB"/>
        </w:rPr>
        <w:t xml:space="preserve"> / 24,000 = 33,3%</w:t>
      </w:r>
    </w:p>
    <w:p w14:paraId="415A7B75" w14:textId="77777777" w:rsidR="00841E8B" w:rsidRDefault="00841E8B" w:rsidP="00841E8B">
      <w:pPr>
        <w:rPr>
          <w:rFonts w:ascii="Calibri" w:eastAsia="Times New Roman" w:hAnsi="Calibri" w:cs="Arial"/>
          <w:color w:val="000000" w:themeColor="dark1"/>
          <w:kern w:val="24"/>
          <w:sz w:val="24"/>
          <w:szCs w:val="24"/>
          <w:lang w:eastAsia="en-GB"/>
        </w:rPr>
      </w:pPr>
      <w:r>
        <w:rPr>
          <w:rFonts w:ascii="Calibri" w:eastAsia="Times New Roman" w:hAnsi="Calibri" w:cs="Arial"/>
          <w:color w:val="000000" w:themeColor="dark1"/>
          <w:kern w:val="24"/>
          <w:sz w:val="24"/>
          <w:szCs w:val="24"/>
          <w:lang w:eastAsia="en-GB"/>
        </w:rPr>
        <w:t xml:space="preserve">                                  </w:t>
      </w:r>
    </w:p>
    <w:p w14:paraId="1B3C0E47" w14:textId="77777777" w:rsidR="00FF2467" w:rsidRDefault="00FF2467" w:rsidP="00FF2467">
      <w:pPr>
        <w:pStyle w:val="ListParagraph"/>
        <w:numPr>
          <w:ilvl w:val="0"/>
          <w:numId w:val="4"/>
        </w:numPr>
        <w:rPr>
          <w:rFonts w:eastAsia="Times New Roman" w:cs="Arial"/>
          <w:color w:val="000000" w:themeColor="dark1"/>
          <w:kern w:val="24"/>
          <w:sz w:val="24"/>
          <w:szCs w:val="24"/>
          <w:lang w:eastAsia="en-GB"/>
        </w:rPr>
      </w:pPr>
    </w:p>
    <w:p w14:paraId="473F123E" w14:textId="30FDFF68" w:rsidR="00D908E2" w:rsidRPr="00FF2467" w:rsidRDefault="00D908E2" w:rsidP="00FF2467">
      <w:pPr>
        <w:rPr>
          <w:rFonts w:eastAsia="Times New Roman" w:cs="Arial"/>
          <w:color w:val="000000" w:themeColor="dark1"/>
          <w:kern w:val="24"/>
          <w:sz w:val="24"/>
          <w:szCs w:val="24"/>
          <w:lang w:eastAsia="en-GB"/>
        </w:rPr>
      </w:pPr>
      <w:r w:rsidRPr="00FF2467">
        <w:rPr>
          <w:rFonts w:eastAsia="Times New Roman" w:cs="Arial"/>
          <w:color w:val="000000" w:themeColor="dark1"/>
          <w:kern w:val="24"/>
          <w:sz w:val="24"/>
          <w:szCs w:val="24"/>
          <w:lang w:eastAsia="en-GB"/>
        </w:rPr>
        <w:t>A break</w:t>
      </w:r>
      <w:r w:rsidR="00841E8B" w:rsidRPr="00FF2467">
        <w:rPr>
          <w:rFonts w:eastAsia="Times New Roman" w:cs="Arial"/>
          <w:color w:val="000000" w:themeColor="dark1"/>
          <w:kern w:val="24"/>
          <w:sz w:val="24"/>
          <w:szCs w:val="24"/>
          <w:lang w:eastAsia="en-GB"/>
        </w:rPr>
        <w:t>-</w:t>
      </w:r>
      <w:r w:rsidRPr="00FF2467">
        <w:rPr>
          <w:rFonts w:eastAsia="Times New Roman" w:cs="Arial"/>
          <w:color w:val="000000" w:themeColor="dark1"/>
          <w:kern w:val="24"/>
          <w:sz w:val="24"/>
          <w:szCs w:val="24"/>
          <w:lang w:eastAsia="en-GB"/>
        </w:rPr>
        <w:t>even model enables the determination of the profit o</w:t>
      </w:r>
      <w:r w:rsidR="001034D9" w:rsidRPr="00FF2467">
        <w:rPr>
          <w:rFonts w:eastAsia="Times New Roman" w:cs="Arial"/>
          <w:color w:val="000000" w:themeColor="dark1"/>
          <w:kern w:val="24"/>
          <w:sz w:val="24"/>
          <w:szCs w:val="24"/>
          <w:lang w:eastAsia="en-GB"/>
        </w:rPr>
        <w:t xml:space="preserve">r loss at any level of activity </w:t>
      </w:r>
      <w:r w:rsidRPr="00FF2467">
        <w:rPr>
          <w:rFonts w:eastAsia="Times New Roman" w:cs="Arial"/>
          <w:color w:val="000000" w:themeColor="dark1"/>
          <w:kern w:val="24"/>
          <w:sz w:val="24"/>
          <w:szCs w:val="24"/>
          <w:lang w:eastAsia="en-GB"/>
        </w:rPr>
        <w:t>within the range for which the model is valid, and the contribution to sales ratio can indicate relative profitability for different products</w:t>
      </w:r>
      <w:r w:rsidR="00841E8B" w:rsidRPr="00FF2467">
        <w:rPr>
          <w:rFonts w:eastAsia="Times New Roman" w:cs="Arial"/>
          <w:color w:val="000000" w:themeColor="dark1"/>
          <w:kern w:val="24"/>
          <w:sz w:val="24"/>
          <w:szCs w:val="24"/>
          <w:lang w:eastAsia="en-GB"/>
        </w:rPr>
        <w:t>.</w:t>
      </w:r>
    </w:p>
    <w:p w14:paraId="59ABAD16" w14:textId="77777777" w:rsidR="00841E8B" w:rsidRDefault="00D908E2" w:rsidP="00FF2467">
      <w:pPr>
        <w:rPr>
          <w:rFonts w:ascii="Calibri" w:eastAsia="Times New Roman" w:hAnsi="Calibri" w:cs="Arial"/>
          <w:color w:val="000000" w:themeColor="dark1"/>
          <w:kern w:val="24"/>
          <w:sz w:val="24"/>
          <w:szCs w:val="24"/>
          <w:lang w:eastAsia="en-GB"/>
        </w:rPr>
      </w:pPr>
      <w:r w:rsidRPr="004A7239">
        <w:rPr>
          <w:rFonts w:ascii="Calibri" w:eastAsia="Times New Roman" w:hAnsi="Calibri" w:cs="Arial"/>
          <w:color w:val="000000" w:themeColor="dark1"/>
          <w:kern w:val="24"/>
          <w:sz w:val="24"/>
          <w:szCs w:val="24"/>
          <w:lang w:eastAsia="en-GB"/>
        </w:rPr>
        <w:t>Highlighting the break</w:t>
      </w:r>
      <w:r w:rsidR="00841E8B">
        <w:rPr>
          <w:rFonts w:ascii="Calibri" w:eastAsia="Times New Roman" w:hAnsi="Calibri" w:cs="Arial"/>
          <w:color w:val="000000" w:themeColor="dark1"/>
          <w:kern w:val="24"/>
          <w:sz w:val="24"/>
          <w:szCs w:val="24"/>
          <w:lang w:eastAsia="en-GB"/>
        </w:rPr>
        <w:t>-</w:t>
      </w:r>
      <w:r w:rsidRPr="004A7239">
        <w:rPr>
          <w:rFonts w:ascii="Calibri" w:eastAsia="Times New Roman" w:hAnsi="Calibri" w:cs="Arial"/>
          <w:color w:val="000000" w:themeColor="dark1"/>
          <w:kern w:val="24"/>
          <w:sz w:val="24"/>
          <w:szCs w:val="24"/>
          <w:lang w:eastAsia="en-GB"/>
        </w:rPr>
        <w:t>even point and the margin of safety</w:t>
      </w:r>
      <w:r w:rsidR="00841E8B">
        <w:rPr>
          <w:rFonts w:ascii="Calibri" w:eastAsia="Times New Roman" w:hAnsi="Calibri" w:cs="Arial"/>
          <w:color w:val="000000" w:themeColor="dark1"/>
          <w:kern w:val="24"/>
          <w:sz w:val="24"/>
          <w:szCs w:val="24"/>
          <w:lang w:eastAsia="en-GB"/>
        </w:rPr>
        <w:t>,</w:t>
      </w:r>
      <w:r w:rsidRPr="004A7239">
        <w:rPr>
          <w:rFonts w:ascii="Calibri" w:eastAsia="Times New Roman" w:hAnsi="Calibri" w:cs="Arial"/>
          <w:color w:val="000000" w:themeColor="dark1"/>
          <w:kern w:val="24"/>
          <w:sz w:val="24"/>
          <w:szCs w:val="24"/>
          <w:lang w:eastAsia="en-GB"/>
        </w:rPr>
        <w:t xml:space="preserve"> gives managers some indicatio</w:t>
      </w:r>
      <w:r w:rsidR="00841E8B">
        <w:rPr>
          <w:rFonts w:ascii="Calibri" w:eastAsia="Times New Roman" w:hAnsi="Calibri" w:cs="Arial"/>
          <w:color w:val="000000" w:themeColor="dark1"/>
          <w:kern w:val="24"/>
          <w:sz w:val="24"/>
          <w:szCs w:val="24"/>
          <w:lang w:eastAsia="en-GB"/>
        </w:rPr>
        <w:t xml:space="preserve">n of the level of risk involved. </w:t>
      </w:r>
    </w:p>
    <w:p w14:paraId="2A1C19A8" w14:textId="77777777" w:rsidR="00D908E2" w:rsidRDefault="00D908E2" w:rsidP="00FF2467">
      <w:pPr>
        <w:rPr>
          <w:rFonts w:ascii="Calibri" w:eastAsia="Times New Roman" w:hAnsi="Calibri" w:cs="Arial"/>
          <w:color w:val="000000" w:themeColor="dark1"/>
          <w:kern w:val="24"/>
          <w:sz w:val="24"/>
          <w:szCs w:val="24"/>
          <w:lang w:eastAsia="en-GB"/>
        </w:rPr>
      </w:pPr>
      <w:r w:rsidRPr="004A7239">
        <w:rPr>
          <w:rFonts w:ascii="Calibri" w:eastAsia="Times New Roman" w:hAnsi="Calibri" w:cs="Arial"/>
          <w:color w:val="000000" w:themeColor="dark1"/>
          <w:kern w:val="24"/>
          <w:sz w:val="24"/>
          <w:szCs w:val="24"/>
          <w:lang w:eastAsia="en-GB"/>
        </w:rPr>
        <w:t>It is often difficult to analyse costs into fixed and variable elements</w:t>
      </w:r>
      <w:r w:rsidR="00841E8B">
        <w:rPr>
          <w:rFonts w:ascii="Calibri" w:eastAsia="Times New Roman" w:hAnsi="Calibri" w:cs="Arial"/>
          <w:color w:val="000000" w:themeColor="dark1"/>
          <w:kern w:val="24"/>
          <w:sz w:val="24"/>
          <w:szCs w:val="24"/>
          <w:lang w:eastAsia="en-GB"/>
        </w:rPr>
        <w:t>.</w:t>
      </w:r>
    </w:p>
    <w:p w14:paraId="131114C1" w14:textId="12D566A4" w:rsidR="00D908E2" w:rsidRDefault="00D908E2" w:rsidP="00FF2467">
      <w:pPr>
        <w:rPr>
          <w:rFonts w:ascii="Calibri" w:eastAsia="Times New Roman" w:hAnsi="Calibri" w:cs="Arial"/>
          <w:color w:val="000000" w:themeColor="dark1"/>
          <w:kern w:val="24"/>
          <w:sz w:val="24"/>
          <w:szCs w:val="24"/>
          <w:lang w:eastAsia="en-GB"/>
        </w:rPr>
      </w:pPr>
      <w:r w:rsidRPr="001034D9">
        <w:rPr>
          <w:rFonts w:ascii="Calibri" w:eastAsia="Times New Roman" w:hAnsi="Calibri" w:cs="Arial"/>
          <w:color w:val="000000" w:themeColor="dark1"/>
          <w:kern w:val="24"/>
          <w:sz w:val="24"/>
          <w:szCs w:val="24"/>
          <w:lang w:eastAsia="en-GB"/>
        </w:rPr>
        <w:t>The assumption that fixed costs are constant is not necessarily valid as fixed costs rise in a</w:t>
      </w:r>
      <w:r w:rsidRPr="004A7239">
        <w:rPr>
          <w:rFonts w:ascii="Calibri" w:eastAsia="Times New Roman" w:hAnsi="Calibri" w:cs="Arial"/>
          <w:color w:val="000000" w:themeColor="dark1"/>
          <w:kern w:val="24"/>
          <w:sz w:val="24"/>
          <w:szCs w:val="24"/>
          <w:lang w:eastAsia="en-GB"/>
        </w:rPr>
        <w:t xml:space="preserve"> "step" function once certain production levels are reached (e.g.</w:t>
      </w:r>
      <w:r w:rsidR="0090794F">
        <w:rPr>
          <w:rFonts w:ascii="Calibri" w:eastAsia="Times New Roman" w:hAnsi="Calibri" w:cs="Arial"/>
          <w:color w:val="000000" w:themeColor="dark1"/>
          <w:kern w:val="24"/>
          <w:sz w:val="24"/>
          <w:szCs w:val="24"/>
          <w:lang w:eastAsia="en-GB"/>
        </w:rPr>
        <w:t>,</w:t>
      </w:r>
      <w:r w:rsidRPr="004A7239">
        <w:rPr>
          <w:rFonts w:ascii="Calibri" w:eastAsia="Times New Roman" w:hAnsi="Calibri" w:cs="Arial"/>
          <w:color w:val="000000" w:themeColor="dark1"/>
          <w:kern w:val="24"/>
          <w:sz w:val="24"/>
          <w:szCs w:val="24"/>
          <w:lang w:eastAsia="en-GB"/>
        </w:rPr>
        <w:t xml:space="preserve"> fixed costs of new machinery to increase production)</w:t>
      </w:r>
      <w:r w:rsidR="00841E8B">
        <w:rPr>
          <w:rFonts w:ascii="Calibri" w:eastAsia="Times New Roman" w:hAnsi="Calibri" w:cs="Arial"/>
          <w:color w:val="000000" w:themeColor="dark1"/>
          <w:kern w:val="24"/>
          <w:sz w:val="24"/>
          <w:szCs w:val="24"/>
          <w:lang w:eastAsia="en-GB"/>
        </w:rPr>
        <w:t>.</w:t>
      </w:r>
    </w:p>
    <w:p w14:paraId="1155F7F9" w14:textId="77777777" w:rsidR="00D908E2" w:rsidRDefault="00D908E2" w:rsidP="00FF2467">
      <w:pPr>
        <w:rPr>
          <w:rFonts w:ascii="Calibri" w:eastAsia="Times New Roman" w:hAnsi="Calibri" w:cs="Arial"/>
          <w:color w:val="000000" w:themeColor="dark1"/>
          <w:kern w:val="24"/>
          <w:sz w:val="24"/>
          <w:szCs w:val="24"/>
          <w:lang w:eastAsia="en-GB"/>
        </w:rPr>
      </w:pPr>
      <w:r w:rsidRPr="004A7239">
        <w:rPr>
          <w:rFonts w:ascii="Calibri" w:eastAsia="Times New Roman" w:hAnsi="Calibri" w:cs="Arial"/>
          <w:color w:val="000000" w:themeColor="dark1"/>
          <w:kern w:val="24"/>
          <w:sz w:val="24"/>
          <w:szCs w:val="24"/>
          <w:lang w:eastAsia="en-GB"/>
        </w:rPr>
        <w:t>The analysis is only possible for a single product or a constant product mix</w:t>
      </w:r>
      <w:r w:rsidR="00841E8B">
        <w:rPr>
          <w:rFonts w:ascii="Calibri" w:eastAsia="Times New Roman" w:hAnsi="Calibri" w:cs="Arial"/>
          <w:color w:val="000000" w:themeColor="dark1"/>
          <w:kern w:val="24"/>
          <w:sz w:val="24"/>
          <w:szCs w:val="24"/>
          <w:lang w:eastAsia="en-GB"/>
        </w:rPr>
        <w:t>.</w:t>
      </w:r>
    </w:p>
    <w:p w14:paraId="2A16C65A" w14:textId="77777777" w:rsidR="00D908E2" w:rsidRDefault="00D908E2" w:rsidP="00FF2467">
      <w:pPr>
        <w:rPr>
          <w:rFonts w:ascii="Calibri" w:eastAsia="Times New Roman" w:hAnsi="Calibri" w:cs="Arial"/>
          <w:color w:val="000000" w:themeColor="dark1"/>
          <w:kern w:val="24"/>
          <w:sz w:val="24"/>
          <w:szCs w:val="24"/>
          <w:lang w:eastAsia="en-GB"/>
        </w:rPr>
      </w:pPr>
      <w:r w:rsidRPr="004A7239">
        <w:rPr>
          <w:rFonts w:ascii="Calibri" w:eastAsia="Times New Roman" w:hAnsi="Calibri" w:cs="Arial"/>
          <w:color w:val="000000" w:themeColor="dark1"/>
          <w:kern w:val="24"/>
          <w:sz w:val="24"/>
          <w:szCs w:val="24"/>
          <w:lang w:eastAsia="en-GB"/>
        </w:rPr>
        <w:t>The basic model treats variable costs per unit as constant, which is not always a valid assumption (quantity discounts etc)</w:t>
      </w:r>
      <w:r w:rsidR="00841E8B">
        <w:rPr>
          <w:rFonts w:ascii="Calibri" w:eastAsia="Times New Roman" w:hAnsi="Calibri" w:cs="Arial"/>
          <w:color w:val="000000" w:themeColor="dark1"/>
          <w:kern w:val="24"/>
          <w:sz w:val="24"/>
          <w:szCs w:val="24"/>
          <w:lang w:eastAsia="en-GB"/>
        </w:rPr>
        <w:t>.</w:t>
      </w:r>
    </w:p>
    <w:p w14:paraId="46C43BB1" w14:textId="77777777" w:rsidR="001034D9" w:rsidRDefault="001034D9" w:rsidP="004A7239">
      <w:pPr>
        <w:ind w:left="1440" w:hanging="1440"/>
        <w:rPr>
          <w:rFonts w:ascii="Calibri" w:eastAsia="Times New Roman" w:hAnsi="Calibri" w:cs="Arial"/>
          <w:b/>
          <w:bCs/>
          <w:color w:val="000000" w:themeColor="dark1"/>
          <w:kern w:val="24"/>
          <w:sz w:val="24"/>
          <w:szCs w:val="24"/>
          <w:lang w:eastAsia="en-GB"/>
        </w:rPr>
      </w:pPr>
    </w:p>
    <w:p w14:paraId="7132DCB3" w14:textId="77777777" w:rsidR="001034D9" w:rsidRDefault="001034D9" w:rsidP="004A7239">
      <w:pPr>
        <w:ind w:left="1440" w:hanging="1440"/>
        <w:rPr>
          <w:rFonts w:ascii="Calibri" w:eastAsia="Times New Roman" w:hAnsi="Calibri" w:cs="Arial"/>
          <w:b/>
          <w:bCs/>
          <w:color w:val="000000" w:themeColor="dark1"/>
          <w:kern w:val="24"/>
          <w:sz w:val="24"/>
          <w:szCs w:val="24"/>
          <w:lang w:eastAsia="en-GB"/>
        </w:rPr>
      </w:pPr>
    </w:p>
    <w:p w14:paraId="4749B258" w14:textId="77777777" w:rsidR="001034D9" w:rsidRDefault="001034D9" w:rsidP="004A7239">
      <w:pPr>
        <w:ind w:left="1440" w:hanging="1440"/>
        <w:rPr>
          <w:rFonts w:ascii="Calibri" w:eastAsia="Times New Roman" w:hAnsi="Calibri" w:cs="Arial"/>
          <w:b/>
          <w:bCs/>
          <w:color w:val="000000" w:themeColor="dark1"/>
          <w:kern w:val="24"/>
          <w:sz w:val="24"/>
          <w:szCs w:val="24"/>
          <w:lang w:eastAsia="en-GB"/>
        </w:rPr>
      </w:pPr>
    </w:p>
    <w:p w14:paraId="70A596EA" w14:textId="5BCE8691" w:rsidR="00D908E2" w:rsidRDefault="00D908E2" w:rsidP="00FF2467">
      <w:pPr>
        <w:pStyle w:val="Heading2"/>
      </w:pPr>
      <w:r w:rsidRPr="00FF2467">
        <w:lastRenderedPageBreak/>
        <w:t>Question Two</w:t>
      </w:r>
    </w:p>
    <w:p w14:paraId="1D0D503B" w14:textId="77777777" w:rsidR="00FF2467" w:rsidRPr="00FF2467" w:rsidRDefault="00FF2467" w:rsidP="00FF2467"/>
    <w:p w14:paraId="1B9B876C" w14:textId="63B9B0B1" w:rsidR="00D908E2" w:rsidRPr="00FF2467" w:rsidRDefault="00D908E2" w:rsidP="00FF246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FF2467">
        <w:rPr>
          <w:rFonts w:eastAsia="Times New Roman" w:cs="Arial"/>
          <w:color w:val="000000" w:themeColor="dark1"/>
          <w:kern w:val="24"/>
          <w:sz w:val="24"/>
          <w:szCs w:val="24"/>
          <w:lang w:eastAsia="en-GB"/>
        </w:rPr>
        <w:t>Breakeven point (</w:t>
      </w:r>
      <w:proofErr w:type="gramStart"/>
      <w:r w:rsidRPr="00FF2467">
        <w:rPr>
          <w:rFonts w:eastAsia="Times New Roman" w:cs="Arial"/>
          <w:color w:val="000000" w:themeColor="dark1"/>
          <w:kern w:val="24"/>
          <w:sz w:val="24"/>
          <w:szCs w:val="24"/>
          <w:lang w:eastAsia="en-GB"/>
        </w:rPr>
        <w:t xml:space="preserve">BEP)   </w:t>
      </w:r>
      <w:proofErr w:type="gramEnd"/>
      <w:r w:rsidRPr="00FF2467">
        <w:rPr>
          <w:rFonts w:eastAsia="Times New Roman" w:cs="Arial"/>
          <w:color w:val="000000" w:themeColor="dark1"/>
          <w:kern w:val="24"/>
          <w:sz w:val="24"/>
          <w:szCs w:val="24"/>
          <w:lang w:eastAsia="en-GB"/>
        </w:rPr>
        <w:t xml:space="preserve">    = </w:t>
      </w:r>
      <w:r w:rsidRPr="00FF2467">
        <w:rPr>
          <w:rFonts w:eastAsia="Times New Roman" w:cs="Arial"/>
          <w:color w:val="000000" w:themeColor="dark1"/>
          <w:kern w:val="24"/>
          <w:sz w:val="24"/>
          <w:szCs w:val="24"/>
          <w:u w:val="single"/>
          <w:lang w:eastAsia="en-GB"/>
        </w:rPr>
        <w:t xml:space="preserve"> </w:t>
      </w:r>
      <w:r w:rsidRPr="00FF2467">
        <w:rPr>
          <w:rFonts w:eastAsia="Times New Roman" w:cs="Arial"/>
          <w:color w:val="000000" w:themeColor="dark1"/>
          <w:kern w:val="24"/>
          <w:sz w:val="24"/>
          <w:szCs w:val="24"/>
          <w:u w:val="single"/>
          <w:lang w:eastAsia="en-GB"/>
        </w:rPr>
        <w:tab/>
        <w:t>Fixed Costs</w:t>
      </w:r>
    </w:p>
    <w:p w14:paraId="38A6E9D1" w14:textId="77777777" w:rsidR="00D908E2" w:rsidRDefault="00D908E2" w:rsidP="00D908E2">
      <w:pPr>
        <w:ind w:left="2160" w:firstLine="720"/>
        <w:rPr>
          <w:rFonts w:eastAsiaTheme="minorEastAsia" w:hAnsi="Calibri"/>
          <w:color w:val="000000"/>
          <w:kern w:val="24"/>
          <w:sz w:val="24"/>
          <w:szCs w:val="24"/>
          <w:lang w:eastAsia="en-GB"/>
        </w:rPr>
      </w:pPr>
      <w:r w:rsidRPr="004A7239"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>Contribution per Unit</w:t>
      </w:r>
    </w:p>
    <w:p w14:paraId="7664B783" w14:textId="77777777" w:rsidR="00D908E2" w:rsidRDefault="00D908E2" w:rsidP="00D908E2">
      <w:pPr>
        <w:ind w:left="1440" w:hanging="1440"/>
        <w:rPr>
          <w:rFonts w:eastAsiaTheme="minorEastAsia" w:hAnsi="Calibri"/>
          <w:color w:val="000000"/>
          <w:kern w:val="24"/>
          <w:sz w:val="24"/>
          <w:szCs w:val="24"/>
          <w:lang w:eastAsia="en-GB"/>
        </w:rPr>
      </w:pP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 xml:space="preserve">BEP = </w:t>
      </w: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ab/>
      </w: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ab/>
      </w:r>
      <w:r>
        <w:rPr>
          <w:rFonts w:eastAsiaTheme="minorEastAsia" w:hAnsi="Calibri"/>
          <w:color w:val="000000"/>
          <w:kern w:val="24"/>
          <w:sz w:val="24"/>
          <w:szCs w:val="24"/>
          <w:u w:val="single"/>
          <w:lang w:eastAsia="en-GB"/>
        </w:rPr>
        <w:t>£5 x 20,000 + £1 x £20,000</w:t>
      </w: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 xml:space="preserve">    </w:t>
      </w: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ab/>
      </w: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ab/>
      </w: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ab/>
      </w: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ab/>
      </w: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ab/>
        <w:t xml:space="preserve">                         </w:t>
      </w: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ab/>
      </w:r>
      <w:r w:rsidR="00841E8B"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 xml:space="preserve">          </w:t>
      </w: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 xml:space="preserve">  £50- (30+5)</w:t>
      </w:r>
    </w:p>
    <w:p w14:paraId="10E10C76" w14:textId="77777777" w:rsidR="00D908E2" w:rsidRDefault="00D908E2" w:rsidP="00D908E2">
      <w:pPr>
        <w:ind w:left="1440" w:hanging="1440"/>
        <w:rPr>
          <w:rFonts w:eastAsiaTheme="minorEastAsia" w:hAnsi="Calibri"/>
          <w:color w:val="000000"/>
          <w:kern w:val="24"/>
          <w:sz w:val="24"/>
          <w:szCs w:val="24"/>
          <w:lang w:eastAsia="en-GB"/>
        </w:rPr>
      </w:pPr>
    </w:p>
    <w:p w14:paraId="24A7C5B0" w14:textId="77777777" w:rsidR="00D908E2" w:rsidRDefault="00D908E2" w:rsidP="00D908E2">
      <w:pPr>
        <w:ind w:left="1440" w:hanging="1440"/>
        <w:rPr>
          <w:rFonts w:eastAsiaTheme="minorEastAsia" w:hAnsi="Calibri"/>
          <w:color w:val="000000"/>
          <w:kern w:val="24"/>
          <w:sz w:val="24"/>
          <w:szCs w:val="24"/>
          <w:lang w:eastAsia="en-GB"/>
        </w:rPr>
      </w:pP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 xml:space="preserve">BEP = </w:t>
      </w: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ab/>
        <w:t xml:space="preserve">             </w:t>
      </w:r>
      <w:r w:rsidRPr="004A7239">
        <w:rPr>
          <w:rFonts w:eastAsiaTheme="minorEastAsia" w:hAnsi="Calibri"/>
          <w:color w:val="000000"/>
          <w:kern w:val="24"/>
          <w:sz w:val="24"/>
          <w:szCs w:val="24"/>
          <w:u w:val="single"/>
          <w:lang w:eastAsia="en-GB"/>
        </w:rPr>
        <w:t>£</w:t>
      </w:r>
      <w:r>
        <w:rPr>
          <w:rFonts w:eastAsiaTheme="minorEastAsia" w:hAnsi="Calibri"/>
          <w:color w:val="000000"/>
          <w:kern w:val="24"/>
          <w:sz w:val="24"/>
          <w:szCs w:val="24"/>
          <w:u w:val="single"/>
          <w:lang w:eastAsia="en-GB"/>
        </w:rPr>
        <w:t>12</w:t>
      </w:r>
      <w:r w:rsidRPr="004A7239">
        <w:rPr>
          <w:rFonts w:eastAsiaTheme="minorEastAsia" w:hAnsi="Calibri"/>
          <w:color w:val="000000"/>
          <w:kern w:val="24"/>
          <w:sz w:val="24"/>
          <w:szCs w:val="24"/>
          <w:u w:val="single"/>
          <w:lang w:eastAsia="en-GB"/>
        </w:rPr>
        <w:t xml:space="preserve">0,000 </w:t>
      </w: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 xml:space="preserve">             </w:t>
      </w:r>
      <w:r w:rsidR="00841E8B"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 xml:space="preserve">= 8,000 </w:t>
      </w: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 xml:space="preserve">commemorative medals                 </w:t>
      </w:r>
      <w:r w:rsidR="00841E8B"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 xml:space="preserve">                          </w:t>
      </w:r>
      <w:r w:rsidR="00841E8B"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ab/>
        <w:t xml:space="preserve">    </w:t>
      </w: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>£15</w:t>
      </w:r>
    </w:p>
    <w:p w14:paraId="5357BAF7" w14:textId="77777777" w:rsidR="00D908E2" w:rsidRDefault="00D908E2" w:rsidP="00D908E2">
      <w:pPr>
        <w:ind w:left="1440" w:hanging="1440"/>
        <w:rPr>
          <w:rFonts w:eastAsiaTheme="minorEastAsia" w:hAnsi="Calibri"/>
          <w:color w:val="000000"/>
          <w:kern w:val="24"/>
          <w:sz w:val="24"/>
          <w:szCs w:val="24"/>
          <w:lang w:eastAsia="en-GB"/>
        </w:rPr>
      </w:pPr>
    </w:p>
    <w:p w14:paraId="67AC8140" w14:textId="274B7EAE" w:rsidR="00D908E2" w:rsidRPr="00FF2467" w:rsidRDefault="00D908E2" w:rsidP="00FF2467">
      <w:pPr>
        <w:pStyle w:val="ListParagraph"/>
        <w:numPr>
          <w:ilvl w:val="0"/>
          <w:numId w:val="5"/>
        </w:numPr>
        <w:rPr>
          <w:rFonts w:eastAsiaTheme="minorEastAsia"/>
          <w:color w:val="000000"/>
          <w:kern w:val="24"/>
          <w:sz w:val="24"/>
          <w:szCs w:val="24"/>
          <w:lang w:eastAsia="en-GB"/>
        </w:rPr>
      </w:pPr>
      <w:r w:rsidRPr="00FF2467">
        <w:rPr>
          <w:rFonts w:eastAsiaTheme="minorEastAsia"/>
          <w:color w:val="000000"/>
          <w:kern w:val="24"/>
          <w:sz w:val="24"/>
          <w:szCs w:val="24"/>
          <w:lang w:eastAsia="en-GB"/>
        </w:rPr>
        <w:t xml:space="preserve">New break-even point </w:t>
      </w:r>
    </w:p>
    <w:p w14:paraId="5FE76730" w14:textId="77777777" w:rsidR="00B42005" w:rsidRDefault="00D908E2" w:rsidP="00D908E2">
      <w:pPr>
        <w:ind w:left="1440" w:hanging="1440"/>
        <w:rPr>
          <w:rFonts w:eastAsiaTheme="minorEastAsia" w:hAnsi="Calibri"/>
          <w:color w:val="000000"/>
          <w:kern w:val="24"/>
          <w:sz w:val="24"/>
          <w:szCs w:val="24"/>
          <w:lang w:eastAsia="en-GB"/>
        </w:rPr>
      </w:pP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 xml:space="preserve">Fixed costs do not change no matter the level of production so still £120,000. </w:t>
      </w:r>
      <w:r w:rsidR="00B42005"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 xml:space="preserve">      </w:t>
      </w:r>
    </w:p>
    <w:p w14:paraId="4B6E8EB4" w14:textId="77777777" w:rsidR="00B42005" w:rsidRDefault="00B42005" w:rsidP="00D908E2">
      <w:pPr>
        <w:ind w:left="1440" w:hanging="1440"/>
        <w:rPr>
          <w:rFonts w:eastAsiaTheme="minorEastAsia" w:hAnsi="Calibri"/>
          <w:color w:val="000000"/>
          <w:kern w:val="24"/>
          <w:sz w:val="24"/>
          <w:szCs w:val="24"/>
          <w:lang w:eastAsia="en-GB"/>
        </w:rPr>
      </w:pP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 xml:space="preserve">But additional premises of £210,000 </w:t>
      </w:r>
    </w:p>
    <w:p w14:paraId="6B65694D" w14:textId="77777777" w:rsidR="00B42005" w:rsidRDefault="00B42005" w:rsidP="00D908E2">
      <w:pPr>
        <w:ind w:left="1440" w:hanging="1440"/>
        <w:rPr>
          <w:rFonts w:eastAsiaTheme="minorEastAsia" w:hAnsi="Calibri"/>
          <w:color w:val="000000"/>
          <w:kern w:val="24"/>
          <w:sz w:val="24"/>
          <w:szCs w:val="24"/>
          <w:lang w:eastAsia="en-GB"/>
        </w:rPr>
      </w:pP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 xml:space="preserve">New fixed costs £120,000 + £210,000 = £330,000                                           </w:t>
      </w:r>
    </w:p>
    <w:p w14:paraId="2C85ADFA" w14:textId="29F2F95A" w:rsidR="00AB625B" w:rsidRDefault="00B42005" w:rsidP="00B42005">
      <w:pPr>
        <w:ind w:left="1440" w:hanging="1440"/>
        <w:rPr>
          <w:rFonts w:eastAsiaTheme="minorEastAsia" w:hAnsi="Calibri"/>
          <w:color w:val="000000"/>
          <w:kern w:val="24"/>
          <w:sz w:val="24"/>
          <w:szCs w:val="24"/>
          <w:lang w:eastAsia="en-GB"/>
        </w:rPr>
      </w:pP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 xml:space="preserve">BEP = </w:t>
      </w: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ab/>
        <w:t xml:space="preserve">             </w:t>
      </w:r>
      <w:r w:rsidRPr="004A7239">
        <w:rPr>
          <w:rFonts w:eastAsiaTheme="minorEastAsia" w:hAnsi="Calibri"/>
          <w:color w:val="000000"/>
          <w:kern w:val="24"/>
          <w:sz w:val="24"/>
          <w:szCs w:val="24"/>
          <w:u w:val="single"/>
          <w:lang w:eastAsia="en-GB"/>
        </w:rPr>
        <w:t>£</w:t>
      </w:r>
      <w:r>
        <w:rPr>
          <w:rFonts w:eastAsiaTheme="minorEastAsia" w:hAnsi="Calibri"/>
          <w:color w:val="000000"/>
          <w:kern w:val="24"/>
          <w:sz w:val="24"/>
          <w:szCs w:val="24"/>
          <w:u w:val="single"/>
          <w:lang w:eastAsia="en-GB"/>
        </w:rPr>
        <w:t>33</w:t>
      </w:r>
      <w:r w:rsidRPr="004A7239">
        <w:rPr>
          <w:rFonts w:eastAsiaTheme="minorEastAsia" w:hAnsi="Calibri"/>
          <w:color w:val="000000"/>
          <w:kern w:val="24"/>
          <w:sz w:val="24"/>
          <w:szCs w:val="24"/>
          <w:u w:val="single"/>
          <w:lang w:eastAsia="en-GB"/>
        </w:rPr>
        <w:t xml:space="preserve">0,000 </w:t>
      </w: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 xml:space="preserve">             </w:t>
      </w:r>
      <w:r w:rsidR="00841E8B"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 xml:space="preserve">= 22,000 </w:t>
      </w: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 xml:space="preserve">commemorative medals                                           </w:t>
      </w:r>
      <w:r>
        <w:rPr>
          <w:rFonts w:eastAsiaTheme="minorEastAsia" w:hAnsi="Calibri"/>
          <w:color w:val="000000"/>
          <w:kern w:val="24"/>
          <w:sz w:val="24"/>
          <w:szCs w:val="24"/>
          <w:lang w:eastAsia="en-GB"/>
        </w:rPr>
        <w:tab/>
        <w:t xml:space="preserve">     £15</w:t>
      </w:r>
    </w:p>
    <w:p w14:paraId="6D1C6821" w14:textId="35FD9F1E" w:rsidR="00FF2467" w:rsidRDefault="00FF2467" w:rsidP="00FF2467">
      <w:pPr>
        <w:pStyle w:val="Heading2"/>
      </w:pPr>
      <w:r w:rsidRPr="00FF2467">
        <w:t>Question T</w:t>
      </w:r>
      <w:r>
        <w:t>hree</w:t>
      </w:r>
    </w:p>
    <w:p w14:paraId="5DCE0B2D" w14:textId="448FAFEA" w:rsidR="00FF2467" w:rsidRDefault="00FF2467" w:rsidP="00FF2467"/>
    <w:p w14:paraId="644FCEDD" w14:textId="77777777" w:rsidR="00FF2467" w:rsidRPr="00FF2467" w:rsidRDefault="00FF2467" w:rsidP="00FF2467">
      <w:pPr>
        <w:rPr>
          <w:bCs/>
          <w:sz w:val="24"/>
          <w:szCs w:val="24"/>
          <w:lang w:val="en-US"/>
        </w:rPr>
      </w:pPr>
      <w:r w:rsidRPr="00FF2467">
        <w:rPr>
          <w:bCs/>
          <w:sz w:val="24"/>
          <w:szCs w:val="24"/>
          <w:lang w:val="en-US"/>
        </w:rPr>
        <w:t xml:space="preserve">Pear Ltd sells high tech watches and has fixed costs of £885,000. Currently each watch sells for </w:t>
      </w:r>
      <w:proofErr w:type="gramStart"/>
      <w:r w:rsidRPr="00FF2467">
        <w:rPr>
          <w:bCs/>
          <w:sz w:val="24"/>
          <w:szCs w:val="24"/>
          <w:lang w:val="en-US"/>
        </w:rPr>
        <w:t>£300</w:t>
      </w:r>
      <w:proofErr w:type="gramEnd"/>
      <w:r w:rsidRPr="00FF2467">
        <w:rPr>
          <w:bCs/>
          <w:sz w:val="24"/>
          <w:szCs w:val="24"/>
          <w:lang w:val="en-US"/>
        </w:rPr>
        <w:t xml:space="preserve"> and the variable cost of manufacture is £225.</w:t>
      </w:r>
    </w:p>
    <w:p w14:paraId="64BFE6D9" w14:textId="43B27E7C" w:rsidR="00FF2467" w:rsidRPr="00FF2467" w:rsidRDefault="00FF2467" w:rsidP="00FF246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F2467">
        <w:rPr>
          <w:sz w:val="24"/>
          <w:szCs w:val="24"/>
          <w:lang w:val="en-US"/>
        </w:rPr>
        <w:t>Calculate the break-even point for Pear Ltd</w:t>
      </w:r>
    </w:p>
    <w:p w14:paraId="3108089F" w14:textId="77777777" w:rsidR="00FF2467" w:rsidRPr="00FF2467" w:rsidRDefault="00FF2467" w:rsidP="00FF2467">
      <w:pPr>
        <w:pStyle w:val="ListParagraph"/>
        <w:rPr>
          <w:sz w:val="24"/>
          <w:szCs w:val="24"/>
        </w:rPr>
      </w:pPr>
      <w:r w:rsidRPr="00FF2467">
        <w:rPr>
          <w:bCs/>
          <w:sz w:val="24"/>
          <w:szCs w:val="24"/>
          <w:lang w:val="en-US"/>
        </w:rPr>
        <w:t xml:space="preserve">Break-even point (in units) = </w:t>
      </w:r>
      <w:r w:rsidRPr="00FF2467">
        <w:rPr>
          <w:bCs/>
          <w:sz w:val="24"/>
          <w:szCs w:val="24"/>
          <w:u w:val="single"/>
          <w:lang w:val="en-US"/>
        </w:rPr>
        <w:t xml:space="preserve">Fixed costs    </w:t>
      </w:r>
      <w:r w:rsidRPr="00FF2467">
        <w:rPr>
          <w:bCs/>
          <w:sz w:val="24"/>
          <w:szCs w:val="24"/>
          <w:u w:val="single"/>
          <w:lang w:val="en-US"/>
        </w:rPr>
        <w:tab/>
      </w:r>
      <w:r w:rsidRPr="00FF2467">
        <w:rPr>
          <w:bCs/>
          <w:sz w:val="24"/>
          <w:szCs w:val="24"/>
          <w:lang w:val="en-US"/>
        </w:rPr>
        <w:tab/>
      </w:r>
      <w:r w:rsidRPr="00FF2467">
        <w:rPr>
          <w:bCs/>
          <w:sz w:val="24"/>
          <w:szCs w:val="24"/>
          <w:lang w:val="en-US"/>
        </w:rPr>
        <w:tab/>
      </w:r>
      <w:r w:rsidRPr="00FF2467">
        <w:rPr>
          <w:bCs/>
          <w:sz w:val="24"/>
          <w:szCs w:val="24"/>
          <w:lang w:val="en-US"/>
        </w:rPr>
        <w:tab/>
      </w:r>
      <w:r w:rsidRPr="00FF2467">
        <w:rPr>
          <w:bCs/>
          <w:sz w:val="24"/>
          <w:szCs w:val="24"/>
          <w:lang w:val="en-US"/>
        </w:rPr>
        <w:tab/>
      </w:r>
      <w:r w:rsidRPr="00FF2467">
        <w:rPr>
          <w:bCs/>
          <w:sz w:val="24"/>
          <w:szCs w:val="24"/>
          <w:lang w:val="en-US"/>
        </w:rPr>
        <w:tab/>
      </w:r>
      <w:r w:rsidRPr="00FF2467">
        <w:rPr>
          <w:bCs/>
          <w:sz w:val="24"/>
          <w:szCs w:val="24"/>
          <w:lang w:val="en-US"/>
        </w:rPr>
        <w:tab/>
      </w:r>
      <w:r w:rsidRPr="00FF2467">
        <w:rPr>
          <w:bCs/>
          <w:sz w:val="24"/>
          <w:szCs w:val="24"/>
          <w:lang w:val="en-US"/>
        </w:rPr>
        <w:tab/>
      </w:r>
      <w:r w:rsidRPr="00FF2467">
        <w:rPr>
          <w:bCs/>
          <w:sz w:val="24"/>
          <w:szCs w:val="24"/>
          <w:lang w:val="en-US"/>
        </w:rPr>
        <w:tab/>
        <w:t xml:space="preserve">        Contribution per unit</w:t>
      </w:r>
    </w:p>
    <w:p w14:paraId="1C3F83EC" w14:textId="77777777" w:rsidR="00FF2467" w:rsidRPr="00FF2467" w:rsidRDefault="00FF2467" w:rsidP="00FF2467">
      <w:pPr>
        <w:pStyle w:val="ListParagraph"/>
        <w:rPr>
          <w:bCs/>
          <w:sz w:val="24"/>
          <w:szCs w:val="24"/>
          <w:lang w:val="en-US"/>
        </w:rPr>
      </w:pPr>
    </w:p>
    <w:p w14:paraId="4BB4A523" w14:textId="77777777" w:rsidR="00FF2467" w:rsidRPr="00FF2467" w:rsidRDefault="00FF2467" w:rsidP="00FF2467">
      <w:pPr>
        <w:pStyle w:val="ListParagraph"/>
        <w:rPr>
          <w:sz w:val="24"/>
          <w:szCs w:val="24"/>
        </w:rPr>
      </w:pPr>
      <w:r w:rsidRPr="00FF2467">
        <w:rPr>
          <w:bCs/>
          <w:sz w:val="24"/>
          <w:szCs w:val="24"/>
          <w:lang w:val="en-US"/>
        </w:rPr>
        <w:t xml:space="preserve">Break –even point = </w:t>
      </w:r>
      <w:r w:rsidRPr="00FF2467">
        <w:rPr>
          <w:bCs/>
          <w:sz w:val="24"/>
          <w:szCs w:val="24"/>
          <w:u w:val="single"/>
          <w:lang w:val="en-US"/>
        </w:rPr>
        <w:t>£885,000</w:t>
      </w:r>
      <w:r w:rsidRPr="00FF2467">
        <w:rPr>
          <w:bCs/>
          <w:sz w:val="24"/>
          <w:szCs w:val="24"/>
          <w:lang w:val="en-US"/>
        </w:rPr>
        <w:t xml:space="preserve">      =</w:t>
      </w:r>
      <w:r w:rsidRPr="00FF2467">
        <w:rPr>
          <w:bCs/>
          <w:sz w:val="24"/>
          <w:szCs w:val="24"/>
          <w:lang w:val="en-US"/>
        </w:rPr>
        <w:tab/>
      </w:r>
      <w:r w:rsidRPr="00FF2467">
        <w:rPr>
          <w:bCs/>
          <w:sz w:val="24"/>
          <w:szCs w:val="24"/>
          <w:u w:val="single"/>
          <w:lang w:val="en-US"/>
        </w:rPr>
        <w:t>£885,000</w:t>
      </w:r>
      <w:r w:rsidRPr="00FF2467">
        <w:rPr>
          <w:bCs/>
          <w:sz w:val="24"/>
          <w:szCs w:val="24"/>
          <w:lang w:val="en-US"/>
        </w:rPr>
        <w:t xml:space="preserve">    =</w:t>
      </w:r>
      <w:r w:rsidRPr="00FF2467">
        <w:rPr>
          <w:bCs/>
          <w:sz w:val="24"/>
          <w:szCs w:val="24"/>
          <w:lang w:val="en-US"/>
        </w:rPr>
        <w:tab/>
        <w:t>11,800 watches</w:t>
      </w:r>
      <w:r w:rsidRPr="00FF2467">
        <w:rPr>
          <w:bCs/>
          <w:sz w:val="24"/>
          <w:szCs w:val="24"/>
          <w:lang w:val="en-US"/>
        </w:rPr>
        <w:tab/>
      </w:r>
      <w:r w:rsidRPr="00FF2467">
        <w:rPr>
          <w:bCs/>
          <w:sz w:val="24"/>
          <w:szCs w:val="24"/>
          <w:lang w:val="en-US"/>
        </w:rPr>
        <w:tab/>
      </w:r>
      <w:r w:rsidRPr="00FF2467">
        <w:rPr>
          <w:bCs/>
          <w:sz w:val="24"/>
          <w:szCs w:val="24"/>
          <w:lang w:val="en-US"/>
        </w:rPr>
        <w:tab/>
      </w:r>
      <w:r w:rsidRPr="00FF2467">
        <w:rPr>
          <w:bCs/>
          <w:sz w:val="24"/>
          <w:szCs w:val="24"/>
          <w:lang w:val="en-US"/>
        </w:rPr>
        <w:tab/>
      </w:r>
      <w:r w:rsidRPr="00FF2467">
        <w:rPr>
          <w:bCs/>
          <w:sz w:val="24"/>
          <w:szCs w:val="24"/>
          <w:lang w:val="en-US"/>
        </w:rPr>
        <w:tab/>
        <w:t xml:space="preserve">        £300-£225</w:t>
      </w:r>
      <w:r w:rsidRPr="00FF2467">
        <w:rPr>
          <w:bCs/>
          <w:sz w:val="24"/>
          <w:szCs w:val="24"/>
          <w:lang w:val="en-US"/>
        </w:rPr>
        <w:tab/>
      </w:r>
      <w:r w:rsidRPr="00FF2467">
        <w:rPr>
          <w:bCs/>
          <w:sz w:val="24"/>
          <w:szCs w:val="24"/>
          <w:lang w:val="en-US"/>
        </w:rPr>
        <w:tab/>
        <w:t>£75</w:t>
      </w:r>
    </w:p>
    <w:p w14:paraId="6C301697" w14:textId="6DBCA254" w:rsidR="00FF2467" w:rsidRDefault="00FF2467" w:rsidP="00FF2467">
      <w:pPr>
        <w:pStyle w:val="ListParagraph"/>
        <w:rPr>
          <w:sz w:val="24"/>
          <w:szCs w:val="24"/>
        </w:rPr>
      </w:pPr>
    </w:p>
    <w:p w14:paraId="78AC7523" w14:textId="0B16AD0A" w:rsidR="00FF2467" w:rsidRDefault="00FF2467" w:rsidP="00FF2467">
      <w:pPr>
        <w:pStyle w:val="ListParagraph"/>
        <w:rPr>
          <w:sz w:val="24"/>
          <w:szCs w:val="24"/>
        </w:rPr>
      </w:pPr>
    </w:p>
    <w:p w14:paraId="7FF90CB4" w14:textId="77777777" w:rsidR="00FF2467" w:rsidRPr="00FF2467" w:rsidRDefault="00FF2467" w:rsidP="00FF2467">
      <w:pPr>
        <w:pStyle w:val="ListParagraph"/>
        <w:rPr>
          <w:sz w:val="24"/>
          <w:szCs w:val="24"/>
        </w:rPr>
      </w:pPr>
    </w:p>
    <w:p w14:paraId="0BDF87C2" w14:textId="096D9C19" w:rsidR="00FF2467" w:rsidRPr="00FF2467" w:rsidRDefault="00FF2467" w:rsidP="00FF246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F2467">
        <w:rPr>
          <w:sz w:val="24"/>
          <w:szCs w:val="24"/>
        </w:rPr>
        <w:lastRenderedPageBreak/>
        <w:t>Pear Ltd wants to generate a profit of £500,000. How many watches need to be sold?</w:t>
      </w:r>
    </w:p>
    <w:p w14:paraId="1967DC58" w14:textId="77777777" w:rsidR="00FF2467" w:rsidRPr="00FF2467" w:rsidRDefault="00FF2467" w:rsidP="00FF2467">
      <w:pPr>
        <w:rPr>
          <w:bCs/>
          <w:sz w:val="24"/>
          <w:szCs w:val="24"/>
        </w:rPr>
      </w:pPr>
      <w:r w:rsidRPr="00FF2467">
        <w:rPr>
          <w:bCs/>
          <w:sz w:val="24"/>
          <w:szCs w:val="24"/>
        </w:rPr>
        <w:t>Break-even point is where the profit is zero. The contribution only covers the fixed costs. If a business wants to make a specific profit, the contribution must cover the fixed costs plus the desired profit. The formula becomes:</w:t>
      </w:r>
    </w:p>
    <w:p w14:paraId="407CDEA8" w14:textId="77777777" w:rsidR="00FF2467" w:rsidRPr="00FF2467" w:rsidRDefault="00FF2467" w:rsidP="00FF2467">
      <w:pPr>
        <w:pStyle w:val="ListParagraph"/>
        <w:rPr>
          <w:sz w:val="24"/>
          <w:szCs w:val="24"/>
        </w:rPr>
      </w:pPr>
      <w:r w:rsidRPr="00FF2467">
        <w:rPr>
          <w:bCs/>
          <w:sz w:val="24"/>
          <w:szCs w:val="24"/>
          <w:lang w:val="en-US"/>
        </w:rPr>
        <w:t xml:space="preserve">Target sales in units = </w:t>
      </w:r>
      <w:r w:rsidRPr="00FF2467">
        <w:rPr>
          <w:bCs/>
          <w:sz w:val="24"/>
          <w:szCs w:val="24"/>
          <w:u w:val="single"/>
          <w:lang w:val="en-US"/>
        </w:rPr>
        <w:t xml:space="preserve">Fixed costs + Target profit   </w:t>
      </w:r>
      <w:r w:rsidRPr="00FF2467">
        <w:rPr>
          <w:bCs/>
          <w:sz w:val="24"/>
          <w:szCs w:val="24"/>
          <w:u w:val="single"/>
          <w:lang w:val="en-US"/>
        </w:rPr>
        <w:tab/>
      </w:r>
      <w:r w:rsidRPr="00FF2467">
        <w:rPr>
          <w:bCs/>
          <w:sz w:val="24"/>
          <w:szCs w:val="24"/>
          <w:lang w:val="en-US"/>
        </w:rPr>
        <w:tab/>
      </w:r>
      <w:r w:rsidRPr="00FF2467">
        <w:rPr>
          <w:bCs/>
          <w:sz w:val="24"/>
          <w:szCs w:val="24"/>
          <w:lang w:val="en-US"/>
        </w:rPr>
        <w:tab/>
      </w:r>
      <w:r w:rsidRPr="00FF2467">
        <w:rPr>
          <w:bCs/>
          <w:sz w:val="24"/>
          <w:szCs w:val="24"/>
          <w:lang w:val="en-US"/>
        </w:rPr>
        <w:tab/>
      </w:r>
      <w:r w:rsidRPr="00FF2467">
        <w:rPr>
          <w:bCs/>
          <w:sz w:val="24"/>
          <w:szCs w:val="24"/>
          <w:lang w:val="en-US"/>
        </w:rPr>
        <w:tab/>
      </w:r>
      <w:r w:rsidRPr="00FF2467">
        <w:rPr>
          <w:bCs/>
          <w:sz w:val="24"/>
          <w:szCs w:val="24"/>
          <w:lang w:val="en-US"/>
        </w:rPr>
        <w:tab/>
      </w:r>
      <w:r w:rsidRPr="00FF2467">
        <w:rPr>
          <w:bCs/>
          <w:sz w:val="24"/>
          <w:szCs w:val="24"/>
          <w:lang w:val="en-US"/>
        </w:rPr>
        <w:tab/>
        <w:t xml:space="preserve">            Contribution per Unit</w:t>
      </w:r>
    </w:p>
    <w:p w14:paraId="11769FD6" w14:textId="77777777" w:rsidR="00FF2467" w:rsidRPr="00FF2467" w:rsidRDefault="00FF2467" w:rsidP="00FF2467">
      <w:pPr>
        <w:pStyle w:val="ListParagraph"/>
        <w:rPr>
          <w:bCs/>
          <w:sz w:val="24"/>
          <w:szCs w:val="24"/>
          <w:lang w:val="en-US"/>
        </w:rPr>
      </w:pPr>
    </w:p>
    <w:p w14:paraId="0EDE8F31" w14:textId="77777777" w:rsidR="00FF2467" w:rsidRPr="00FF2467" w:rsidRDefault="00FF2467" w:rsidP="00FF2467">
      <w:pPr>
        <w:pStyle w:val="ListParagraph"/>
        <w:rPr>
          <w:sz w:val="24"/>
          <w:szCs w:val="24"/>
        </w:rPr>
      </w:pPr>
      <w:r w:rsidRPr="00FF2467">
        <w:rPr>
          <w:bCs/>
          <w:sz w:val="24"/>
          <w:szCs w:val="24"/>
          <w:lang w:val="en-US"/>
        </w:rPr>
        <w:t xml:space="preserve">Target sales in units= </w:t>
      </w:r>
      <w:r w:rsidRPr="00FF2467">
        <w:rPr>
          <w:bCs/>
          <w:sz w:val="24"/>
          <w:szCs w:val="24"/>
          <w:u w:val="single"/>
          <w:lang w:val="en-US"/>
        </w:rPr>
        <w:t>£885,000 +£500,000</w:t>
      </w:r>
      <w:r w:rsidRPr="00FF2467">
        <w:rPr>
          <w:bCs/>
          <w:sz w:val="24"/>
          <w:szCs w:val="24"/>
          <w:lang w:val="en-US"/>
        </w:rPr>
        <w:t xml:space="preserve">    =</w:t>
      </w:r>
      <w:r w:rsidRPr="00FF2467">
        <w:rPr>
          <w:bCs/>
          <w:sz w:val="24"/>
          <w:szCs w:val="24"/>
          <w:lang w:val="en-US"/>
        </w:rPr>
        <w:tab/>
      </w:r>
      <w:r w:rsidRPr="00FF2467">
        <w:rPr>
          <w:bCs/>
          <w:sz w:val="24"/>
          <w:szCs w:val="24"/>
          <w:u w:val="single"/>
          <w:lang w:val="en-US"/>
        </w:rPr>
        <w:t>£1,385,000</w:t>
      </w:r>
      <w:r w:rsidRPr="00FF2467">
        <w:rPr>
          <w:bCs/>
          <w:sz w:val="24"/>
          <w:szCs w:val="24"/>
          <w:lang w:val="en-US"/>
        </w:rPr>
        <w:t xml:space="preserve">    =</w:t>
      </w:r>
      <w:r w:rsidRPr="00FF2467">
        <w:rPr>
          <w:bCs/>
          <w:sz w:val="24"/>
          <w:szCs w:val="24"/>
          <w:lang w:val="en-US"/>
        </w:rPr>
        <w:tab/>
        <w:t>18,467 watches</w:t>
      </w:r>
      <w:r w:rsidRPr="00FF2467">
        <w:rPr>
          <w:bCs/>
          <w:sz w:val="24"/>
          <w:szCs w:val="24"/>
          <w:lang w:val="en-US"/>
        </w:rPr>
        <w:tab/>
      </w:r>
      <w:r w:rsidRPr="00FF2467">
        <w:rPr>
          <w:bCs/>
          <w:sz w:val="24"/>
          <w:szCs w:val="24"/>
          <w:lang w:val="en-US"/>
        </w:rPr>
        <w:tab/>
      </w:r>
      <w:r w:rsidRPr="00FF2467">
        <w:rPr>
          <w:bCs/>
          <w:sz w:val="24"/>
          <w:szCs w:val="24"/>
          <w:lang w:val="en-US"/>
        </w:rPr>
        <w:tab/>
      </w:r>
      <w:r w:rsidRPr="00FF2467">
        <w:rPr>
          <w:bCs/>
          <w:sz w:val="24"/>
          <w:szCs w:val="24"/>
          <w:lang w:val="en-US"/>
        </w:rPr>
        <w:tab/>
        <w:t xml:space="preserve">         £300-£225</w:t>
      </w:r>
      <w:r w:rsidRPr="00FF2467">
        <w:rPr>
          <w:bCs/>
          <w:sz w:val="24"/>
          <w:szCs w:val="24"/>
          <w:lang w:val="en-US"/>
        </w:rPr>
        <w:tab/>
      </w:r>
      <w:r w:rsidRPr="00FF2467">
        <w:rPr>
          <w:bCs/>
          <w:sz w:val="24"/>
          <w:szCs w:val="24"/>
          <w:lang w:val="en-US"/>
        </w:rPr>
        <w:tab/>
      </w:r>
      <w:r w:rsidRPr="00FF2467">
        <w:rPr>
          <w:bCs/>
          <w:sz w:val="24"/>
          <w:szCs w:val="24"/>
          <w:lang w:val="en-US"/>
        </w:rPr>
        <w:tab/>
        <w:t>£75</w:t>
      </w:r>
    </w:p>
    <w:p w14:paraId="167B50AD" w14:textId="77777777" w:rsidR="00FF2467" w:rsidRPr="00FF2467" w:rsidRDefault="00FF2467" w:rsidP="00FF246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F2467">
        <w:rPr>
          <w:sz w:val="24"/>
          <w:szCs w:val="24"/>
        </w:rPr>
        <w:t>In the first year of trading Pear sold 15,000 units. What is the margin of safety that Pear Ltd has achieved?</w:t>
      </w:r>
    </w:p>
    <w:p w14:paraId="13D2C78E" w14:textId="77777777" w:rsidR="00FF2467" w:rsidRPr="00FF2467" w:rsidRDefault="00FF2467" w:rsidP="00FF2467">
      <w:pPr>
        <w:pStyle w:val="ListParagraph"/>
        <w:rPr>
          <w:bCs/>
          <w:sz w:val="24"/>
          <w:szCs w:val="24"/>
        </w:rPr>
      </w:pPr>
      <w:r w:rsidRPr="00FF2467">
        <w:rPr>
          <w:bCs/>
          <w:sz w:val="24"/>
          <w:szCs w:val="24"/>
        </w:rPr>
        <w:t>Margin of safety is the excess number of units sold over break-even point. In this case, the break-even number of units calculated in (1) was 11,800 watches. The actual number of sales was 15,000 watches. This gives a margin of safety of (15,000-11,800) 3,200 watches.</w:t>
      </w:r>
    </w:p>
    <w:p w14:paraId="183E49BC" w14:textId="77777777" w:rsidR="00FF2467" w:rsidRPr="00FF2467" w:rsidRDefault="00FF2467" w:rsidP="00FF2467">
      <w:pPr>
        <w:pStyle w:val="ListParagraph"/>
        <w:rPr>
          <w:bCs/>
          <w:sz w:val="24"/>
          <w:szCs w:val="24"/>
        </w:rPr>
      </w:pPr>
      <w:r w:rsidRPr="00FF2467">
        <w:rPr>
          <w:bCs/>
          <w:sz w:val="24"/>
          <w:szCs w:val="24"/>
        </w:rPr>
        <w:t>This represents the level sales can fall by and the business still be profitable.</w:t>
      </w:r>
    </w:p>
    <w:p w14:paraId="289F7F26" w14:textId="77777777" w:rsidR="00FF2467" w:rsidRPr="00FF2467" w:rsidRDefault="00FF2467" w:rsidP="00FF2467">
      <w:pPr>
        <w:pStyle w:val="ListParagraph"/>
        <w:rPr>
          <w:bCs/>
          <w:sz w:val="24"/>
          <w:szCs w:val="24"/>
        </w:rPr>
      </w:pPr>
      <w:r w:rsidRPr="00FF2467">
        <w:rPr>
          <w:bCs/>
          <w:sz w:val="24"/>
          <w:szCs w:val="24"/>
        </w:rPr>
        <w:t>It is perhaps better expressed as a percentage: 3,200/15,000 =21%</w:t>
      </w:r>
    </w:p>
    <w:p w14:paraId="09DDA415" w14:textId="77777777" w:rsidR="00FF2467" w:rsidRPr="00FF2467" w:rsidRDefault="00FF2467" w:rsidP="00FF2467">
      <w:pPr>
        <w:pStyle w:val="ListParagraph"/>
        <w:rPr>
          <w:sz w:val="24"/>
          <w:szCs w:val="24"/>
        </w:rPr>
      </w:pPr>
      <w:r w:rsidRPr="00FF2467">
        <w:rPr>
          <w:bCs/>
          <w:sz w:val="24"/>
          <w:szCs w:val="24"/>
        </w:rPr>
        <w:t>Sales can fall by 21% and Pear will still make a profit.</w:t>
      </w:r>
    </w:p>
    <w:p w14:paraId="55582C78" w14:textId="77777777" w:rsidR="00FF2467" w:rsidRDefault="00FF2467" w:rsidP="00FF2467">
      <w:pPr>
        <w:pStyle w:val="Heading2"/>
      </w:pPr>
    </w:p>
    <w:p w14:paraId="2E794542" w14:textId="6863BD0B" w:rsidR="00FF2467" w:rsidRDefault="00FF2467" w:rsidP="00FF2467">
      <w:pPr>
        <w:pStyle w:val="Heading2"/>
      </w:pPr>
      <w:r w:rsidRPr="00FF2467">
        <w:t xml:space="preserve">Question </w:t>
      </w:r>
      <w:r>
        <w:t>Four</w:t>
      </w:r>
    </w:p>
    <w:p w14:paraId="7FAB6B84" w14:textId="77777777" w:rsidR="00FF2467" w:rsidRPr="00FF2467" w:rsidRDefault="00FF2467" w:rsidP="00FF2467"/>
    <w:p w14:paraId="3085D48A" w14:textId="43BF412E" w:rsidR="00FF2467" w:rsidRPr="00FF2467" w:rsidRDefault="00FF2467" w:rsidP="00FF2467">
      <w:r w:rsidRPr="00FF2467">
        <w:drawing>
          <wp:inline distT="0" distB="0" distL="0" distR="0" wp14:anchorId="1B3462F8" wp14:editId="354D0FCB">
            <wp:extent cx="5731510" cy="2088515"/>
            <wp:effectExtent l="0" t="0" r="0" b="6985"/>
            <wp:docPr id="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4111AD9-4600-4977-822C-C93A188F56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FF2B5EF4-FFF2-40B4-BE49-F238E27FC236}">
                          <a16:creationId xmlns:a16="http://schemas.microsoft.com/office/drawing/2014/main" id="{34111AD9-4600-4977-822C-C93A188F563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6EC73DA" w14:textId="77777777" w:rsidR="00FF2467" w:rsidRPr="00FF2467" w:rsidRDefault="00FF2467" w:rsidP="00FF2467">
      <w:pPr>
        <w:rPr>
          <w:sz w:val="24"/>
          <w:szCs w:val="24"/>
        </w:rPr>
      </w:pPr>
    </w:p>
    <w:p w14:paraId="481873B9" w14:textId="77777777" w:rsidR="00FF2467" w:rsidRPr="00FF2467" w:rsidRDefault="00FF2467" w:rsidP="00B42005">
      <w:pPr>
        <w:ind w:left="1440" w:hanging="1440"/>
        <w:rPr>
          <w:rFonts w:eastAsiaTheme="minorEastAsia" w:hAnsi="Calibri"/>
          <w:color w:val="000000"/>
          <w:kern w:val="24"/>
          <w:sz w:val="24"/>
          <w:szCs w:val="24"/>
          <w:lang w:eastAsia="en-GB"/>
        </w:rPr>
      </w:pPr>
    </w:p>
    <w:sectPr w:rsidR="00FF2467" w:rsidRPr="00FF2467" w:rsidSect="00841E8B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49576" w14:textId="77777777" w:rsidR="00FE054C" w:rsidRDefault="00FE054C" w:rsidP="00841E8B">
      <w:pPr>
        <w:spacing w:after="0" w:line="240" w:lineRule="auto"/>
      </w:pPr>
      <w:r>
        <w:separator/>
      </w:r>
    </w:p>
  </w:endnote>
  <w:endnote w:type="continuationSeparator" w:id="0">
    <w:p w14:paraId="63833543" w14:textId="77777777" w:rsidR="00FE054C" w:rsidRDefault="00FE054C" w:rsidP="00841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3018024"/>
      <w:docPartObj>
        <w:docPartGallery w:val="Page Numbers (Bottom of Page)"/>
        <w:docPartUnique/>
      </w:docPartObj>
    </w:sdtPr>
    <w:sdtContent>
      <w:p w14:paraId="13B6B3D8" w14:textId="77777777" w:rsidR="00841E8B" w:rsidRDefault="00841E8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41E8B">
          <w:rPr>
            <w:noProof/>
            <w:lang w:val="it-IT"/>
          </w:rPr>
          <w:t>2</w:t>
        </w:r>
        <w:r>
          <w:fldChar w:fldCharType="end"/>
        </w:r>
      </w:p>
    </w:sdtContent>
  </w:sdt>
  <w:p w14:paraId="631E17AB" w14:textId="77777777" w:rsidR="00841E8B" w:rsidRDefault="00841E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28F27" w14:textId="77777777" w:rsidR="00FE054C" w:rsidRDefault="00FE054C" w:rsidP="00841E8B">
      <w:pPr>
        <w:spacing w:after="0" w:line="240" w:lineRule="auto"/>
      </w:pPr>
      <w:r>
        <w:separator/>
      </w:r>
    </w:p>
  </w:footnote>
  <w:footnote w:type="continuationSeparator" w:id="0">
    <w:p w14:paraId="0900F6A5" w14:textId="77777777" w:rsidR="00FE054C" w:rsidRDefault="00FE054C" w:rsidP="00841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F283E"/>
    <w:multiLevelType w:val="hybridMultilevel"/>
    <w:tmpl w:val="C6B8FC30"/>
    <w:lvl w:ilvl="0" w:tplc="2F5652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335A4C"/>
    <w:multiLevelType w:val="hybridMultilevel"/>
    <w:tmpl w:val="C6B0C236"/>
    <w:lvl w:ilvl="0" w:tplc="B1A69F1E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000000" w:themeColor="dark1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F6744C"/>
    <w:multiLevelType w:val="hybridMultilevel"/>
    <w:tmpl w:val="9A509C2A"/>
    <w:lvl w:ilvl="0" w:tplc="93A0E03A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  <w:lvl w:ilvl="1" w:tplc="AC329AE6" w:tentative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 w:tplc="D8B2DEAE" w:tentative="1">
      <w:start w:val="1"/>
      <w:numFmt w:val="lowerLetter"/>
      <w:lvlText w:val="(%3)"/>
      <w:lvlJc w:val="left"/>
      <w:pPr>
        <w:tabs>
          <w:tab w:val="num" w:pos="1800"/>
        </w:tabs>
        <w:ind w:left="1800" w:hanging="360"/>
      </w:pPr>
    </w:lvl>
    <w:lvl w:ilvl="3" w:tplc="5164FD78" w:tentative="1">
      <w:start w:val="1"/>
      <w:numFmt w:val="lowerLetter"/>
      <w:lvlText w:val="(%4)"/>
      <w:lvlJc w:val="left"/>
      <w:pPr>
        <w:tabs>
          <w:tab w:val="num" w:pos="2520"/>
        </w:tabs>
        <w:ind w:left="2520" w:hanging="360"/>
      </w:pPr>
    </w:lvl>
    <w:lvl w:ilvl="4" w:tplc="6F441264" w:tentative="1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</w:lvl>
    <w:lvl w:ilvl="5" w:tplc="EA2078A2" w:tentative="1">
      <w:start w:val="1"/>
      <w:numFmt w:val="lowerLetter"/>
      <w:lvlText w:val="(%6)"/>
      <w:lvlJc w:val="left"/>
      <w:pPr>
        <w:tabs>
          <w:tab w:val="num" w:pos="3960"/>
        </w:tabs>
        <w:ind w:left="3960" w:hanging="360"/>
      </w:pPr>
    </w:lvl>
    <w:lvl w:ilvl="6" w:tplc="75B6680C" w:tentative="1">
      <w:start w:val="1"/>
      <w:numFmt w:val="lowerLetter"/>
      <w:lvlText w:val="(%7)"/>
      <w:lvlJc w:val="left"/>
      <w:pPr>
        <w:tabs>
          <w:tab w:val="num" w:pos="4680"/>
        </w:tabs>
        <w:ind w:left="4680" w:hanging="360"/>
      </w:pPr>
    </w:lvl>
    <w:lvl w:ilvl="7" w:tplc="17C415CE" w:tentative="1">
      <w:start w:val="1"/>
      <w:numFmt w:val="lowerLetter"/>
      <w:lvlText w:val="(%8)"/>
      <w:lvlJc w:val="left"/>
      <w:pPr>
        <w:tabs>
          <w:tab w:val="num" w:pos="5400"/>
        </w:tabs>
        <w:ind w:left="5400" w:hanging="360"/>
      </w:pPr>
    </w:lvl>
    <w:lvl w:ilvl="8" w:tplc="0626483A" w:tentative="1">
      <w:start w:val="1"/>
      <w:numFmt w:val="lowerLetter"/>
      <w:lvlText w:val="(%9)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D1308B0"/>
    <w:multiLevelType w:val="hybridMultilevel"/>
    <w:tmpl w:val="827072A0"/>
    <w:lvl w:ilvl="0" w:tplc="24367FCE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8420A0"/>
    <w:multiLevelType w:val="multilevel"/>
    <w:tmpl w:val="8C448D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8764D"/>
    <w:multiLevelType w:val="hybridMultilevel"/>
    <w:tmpl w:val="41443B50"/>
    <w:lvl w:ilvl="0" w:tplc="9DC035DA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000000" w:themeColor="dark1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1330337">
    <w:abstractNumId w:val="2"/>
  </w:num>
  <w:num w:numId="2" w16cid:durableId="1661692112">
    <w:abstractNumId w:val="4"/>
  </w:num>
  <w:num w:numId="3" w16cid:durableId="120807594">
    <w:abstractNumId w:val="3"/>
  </w:num>
  <w:num w:numId="4" w16cid:durableId="547450152">
    <w:abstractNumId w:val="1"/>
  </w:num>
  <w:num w:numId="5" w16cid:durableId="734087591">
    <w:abstractNumId w:val="5"/>
  </w:num>
  <w:num w:numId="6" w16cid:durableId="44435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1N7WwMDM2NLEwNbBQ0lEKTi0uzszPAykwrAUAh1YVPSwAAAA="/>
  </w:docVars>
  <w:rsids>
    <w:rsidRoot w:val="0096700D"/>
    <w:rsid w:val="00100B7C"/>
    <w:rsid w:val="001034D9"/>
    <w:rsid w:val="001E5445"/>
    <w:rsid w:val="00237262"/>
    <w:rsid w:val="002E3DD9"/>
    <w:rsid w:val="003A0A47"/>
    <w:rsid w:val="004A7239"/>
    <w:rsid w:val="00536718"/>
    <w:rsid w:val="005E06C0"/>
    <w:rsid w:val="00611345"/>
    <w:rsid w:val="00611793"/>
    <w:rsid w:val="00630E7D"/>
    <w:rsid w:val="00787864"/>
    <w:rsid w:val="007E6E69"/>
    <w:rsid w:val="00841E8B"/>
    <w:rsid w:val="00866E2A"/>
    <w:rsid w:val="0090794F"/>
    <w:rsid w:val="0096700D"/>
    <w:rsid w:val="00AB625B"/>
    <w:rsid w:val="00AD295B"/>
    <w:rsid w:val="00B42005"/>
    <w:rsid w:val="00CF0144"/>
    <w:rsid w:val="00D908E2"/>
    <w:rsid w:val="00FC4121"/>
    <w:rsid w:val="00FE054C"/>
    <w:rsid w:val="00F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BCFE"/>
  <w15:docId w15:val="{CCACCCBB-9FC4-4E86-B019-260531CA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467"/>
    <w:pPr>
      <w:keepNext/>
      <w:keepLines/>
      <w:spacing w:before="480"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LightShading">
    <w:name w:val="Light Shading"/>
    <w:basedOn w:val="TableNormal"/>
    <w:uiPriority w:val="60"/>
    <w:rsid w:val="004A72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AD2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rsid w:val="00536718"/>
    <w:pPr>
      <w:tabs>
        <w:tab w:val="left" w:pos="864"/>
      </w:tabs>
      <w:spacing w:after="0" w:line="240" w:lineRule="auto"/>
      <w:ind w:left="14"/>
      <w:jc w:val="both"/>
    </w:pPr>
    <w:rPr>
      <w:rFonts w:ascii="Times New Roman" w:eastAsia="SimSu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36718"/>
    <w:rPr>
      <w:rFonts w:ascii="Times New Roman" w:eastAsia="SimSu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41E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E8B"/>
  </w:style>
  <w:style w:type="paragraph" w:styleId="Footer">
    <w:name w:val="footer"/>
    <w:basedOn w:val="Normal"/>
    <w:link w:val="FooterChar"/>
    <w:uiPriority w:val="99"/>
    <w:unhideWhenUsed/>
    <w:rsid w:val="00841E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E8B"/>
  </w:style>
  <w:style w:type="character" w:customStyle="1" w:styleId="Heading1Char">
    <w:name w:val="Heading 1 Char"/>
    <w:basedOn w:val="DefaultParagraphFont"/>
    <w:link w:val="Heading1"/>
    <w:uiPriority w:val="9"/>
    <w:rsid w:val="00FF24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246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rsid w:val="00FF2467"/>
    <w:pPr>
      <w:suppressAutoHyphens/>
      <w:autoSpaceDN w:val="0"/>
      <w:ind w:left="720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2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175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Thompson</dc:creator>
  <cp:lastModifiedBy>Maria-Teresa Speziale</cp:lastModifiedBy>
  <cp:revision>3</cp:revision>
  <cp:lastPrinted>2016-11-13T14:11:00Z</cp:lastPrinted>
  <dcterms:created xsi:type="dcterms:W3CDTF">2023-11-06T12:55:00Z</dcterms:created>
  <dcterms:modified xsi:type="dcterms:W3CDTF">2023-11-06T12:55:00Z</dcterms:modified>
</cp:coreProperties>
</file>