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jc w:val="center"/>
      </w:pPr>
      <w:r>
        <w:rPr>
          <w:rFonts w:ascii="Calibri" w:cs="Calibri" w:eastAsia="Calibri" w:hAnsi="Calibri"/>
          <w:b/>
          <w:bCs/>
          <w:color w:val="4A2E25"/>
          <w:sz w:val="56"/>
          <w:szCs w:val="56"/>
        </w:rPr>
        <w:t xml:space="preserve">CRADESC</w:t>
      </w:r>
    </w:p>
    <w:p>
      <w:pPr>
        <w:spacing w:after="500"/>
        <w:jc w:val="center"/>
      </w:pPr>
      <w:r>
        <w:rPr>
          <w:rFonts w:ascii="Calibri" w:cs="Calibri" w:eastAsia="Calibri" w:hAnsi="Calibri"/>
          <w:color w:val="7A6962"/>
          <w:sz w:val="20"/>
          <w:szCs w:val="20"/>
        </w:rPr>
        <w:t xml:space="preserve">Centre de Recherche et d’Action sur les Droits Économiques, Sociaux et Culturels</w:t>
      </w:r>
    </w:p>
    <w:p>
      <w:pPr>
        <w:pBdr>
          <w:top w:val="single" w:color="4A2E25" w:sz="6"/>
          <w:bottom w:val="single" w:color="4A2E25" w:sz="6"/>
        </w:pBdr>
        <w:spacing w:after="140"/>
        <w:jc w:val="center"/>
      </w:pPr>
      <w:r>
        <w:rPr>
          <w:sz w:val="8"/>
          <w:szCs w:val="8"/>
        </w:rPr>
        <w:t xml:space="preserve"/>
      </w:r>
    </w:p>
    <w:p>
      <w:pPr>
        <w:spacing w:after="100"/>
        <w:jc w:val="center"/>
      </w:pPr>
      <w:r>
        <w:rPr>
          <w:rFonts w:ascii="Calibri" w:cs="Calibri" w:eastAsia="Calibri" w:hAnsi="Calibri"/>
          <w:b/>
          <w:bCs/>
          <w:color w:val="4A2E25"/>
          <w:sz w:val="44"/>
          <w:szCs w:val="44"/>
        </w:rPr>
        <w:t xml:space="preserve">CAHIER DES CHARGES</w:t>
      </w:r>
    </w:p>
    <w:p>
      <w:pPr>
        <w:spacing w:after="60"/>
        <w:jc w:val="center"/>
      </w:pPr>
      <w:r>
        <w:rPr>
          <w:rFonts w:ascii="Calibri" w:cs="Calibri" w:eastAsia="Calibri" w:hAnsi="Calibri"/>
          <w:color w:val="7A6962"/>
          <w:sz w:val="26"/>
          <w:szCs w:val="26"/>
        </w:rPr>
        <w:t xml:space="preserve">Suite numérique interne — Intranet CRADESC</w:t>
      </w:r>
    </w:p>
    <w:p>
      <w:pPr>
        <w:spacing w:after="700"/>
        <w:jc w:val="center"/>
      </w:pPr>
      <w:r>
        <w:rPr>
          <w:rFonts w:ascii="Calibri" w:cs="Calibri" w:eastAsia="Calibri" w:hAnsi="Calibri"/>
          <w:i/>
          <w:iCs/>
          <w:color w:val="7A6962"/>
          <w:sz w:val="21"/>
          <w:szCs w:val="21"/>
        </w:rPr>
        <w:t xml:space="preserve">Six plateformes métier · Écosystème Google / Firebase</w:t>
      </w:r>
    </w:p>
    <w:tbl>
      <w:tblPr>
        <w:tblW w:type="dxa" w:w="9000"/>
        <w:tblBorders>
          <w:top w:val="single" w:color="D9D2CA" w:sz="4"/>
          <w:left w:val="single" w:color="D9D2CA" w:sz="4"/>
          <w:bottom w:val="single" w:color="D9D2CA" w:sz="4"/>
          <w:right w:val="single" w:color="D9D2CA" w:sz="4"/>
          <w:insideH w:val="single" w:color="D9D2CA" w:sz="4"/>
          <w:insideV w:val="single" w:color="D9D2CA" w:sz="4"/>
        </w:tblBorders>
      </w:tblPr>
      <w:tblGrid>
        <w:gridCol w:w="2600"/>
        <w:gridCol w:w="6400"/>
      </w:tblGrid>
      <w:tr>
        <w:trPr>
          <w:tblHeader/>
        </w:trPr>
        <w:tc>
          <w:tcPr>
            <w:tcW w:type="dxa" w:w="26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Rubrique</w:t>
            </w:r>
          </w:p>
        </w:tc>
        <w:tc>
          <w:tcPr>
            <w:tcW w:type="dxa" w:w="64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Valeur</w:t>
            </w:r>
          </w:p>
        </w:tc>
      </w:tr>
      <w:tr>
        <w:tc>
          <w:tcPr>
            <w:tcW w:type="dxa" w:w="2600"/>
            <w:tcMar>
              <w:top w:type="dxa" w:w="80"/>
              <w:left w:type="dxa" w:w="110"/>
              <w:bottom w:type="dxa" w:w="80"/>
              <w:right w:type="dxa" w:w="110"/>
            </w:tcMar>
          </w:tcPr>
          <w:p>
            <w:pPr>
              <w:spacing w:after="0" w:line="260"/>
            </w:pPr>
            <w:r>
              <w:rPr>
                <w:rFonts w:ascii="Calibri" w:cs="Calibri" w:eastAsia="Calibri" w:hAnsi="Calibri"/>
                <w:sz w:val="19"/>
                <w:szCs w:val="19"/>
              </w:rPr>
              <w:t xml:space="preserve">Référence</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CRADESC_CAHIER-DES-CHARGES_INTRANET_V01</w:t>
            </w:r>
          </w:p>
        </w:tc>
      </w:tr>
      <w:tr>
        <w:tc>
          <w:tcPr>
            <w:tcW w:type="dxa" w:w="26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Version</w:t>
            </w:r>
          </w:p>
        </w:tc>
        <w:tc>
          <w:tcPr>
            <w:tcW w:type="dxa" w:w="6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01</w:t>
            </w:r>
          </w:p>
        </w:tc>
      </w:tr>
      <w:tr>
        <w:tc>
          <w:tcPr>
            <w:tcW w:type="dxa" w:w="2600"/>
            <w:tcMar>
              <w:top w:type="dxa" w:w="80"/>
              <w:left w:type="dxa" w:w="110"/>
              <w:bottom w:type="dxa" w:w="80"/>
              <w:right w:type="dxa" w:w="110"/>
            </w:tcMar>
          </w:tcPr>
          <w:p>
            <w:pPr>
              <w:spacing w:after="0" w:line="260"/>
            </w:pPr>
            <w:r>
              <w:rPr>
                <w:rFonts w:ascii="Calibri" w:cs="Calibri" w:eastAsia="Calibri" w:hAnsi="Calibri"/>
                <w:sz w:val="19"/>
                <w:szCs w:val="19"/>
              </w:rPr>
              <w:t xml:space="preserve">Date</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Juillet 2026</w:t>
            </w:r>
          </w:p>
        </w:tc>
      </w:tr>
      <w:tr>
        <w:tc>
          <w:tcPr>
            <w:tcW w:type="dxa" w:w="26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Statut</w:t>
            </w:r>
          </w:p>
        </w:tc>
        <w:tc>
          <w:tcPr>
            <w:tcW w:type="dxa" w:w="6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Projet soumis à validation</w:t>
            </w:r>
          </w:p>
        </w:tc>
      </w:tr>
      <w:tr>
        <w:tc>
          <w:tcPr>
            <w:tcW w:type="dxa" w:w="2600"/>
            <w:tcMar>
              <w:top w:type="dxa" w:w="80"/>
              <w:left w:type="dxa" w:w="110"/>
              <w:bottom w:type="dxa" w:w="80"/>
              <w:right w:type="dxa" w:w="110"/>
            </w:tcMar>
          </w:tcPr>
          <w:p>
            <w:pPr>
              <w:spacing w:after="0" w:line="260"/>
            </w:pPr>
            <w:r>
              <w:rPr>
                <w:rFonts w:ascii="Calibri" w:cs="Calibri" w:eastAsia="Calibri" w:hAnsi="Calibri"/>
                <w:sz w:val="19"/>
                <w:szCs w:val="19"/>
              </w:rPr>
              <w:t xml:space="preserve">Maître d’ouvrage</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CRADESC — Coordination technique</w:t>
            </w:r>
          </w:p>
        </w:tc>
      </w:tr>
      <w:tr>
        <w:tc>
          <w:tcPr>
            <w:tcW w:type="dxa" w:w="26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Destinataires</w:t>
            </w:r>
          </w:p>
        </w:tc>
        <w:tc>
          <w:tcPr>
            <w:tcW w:type="dxa" w:w="6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Direction, prestataire de développement, hébergeur</w:t>
            </w:r>
          </w:p>
        </w:tc>
      </w:tr>
      <w:tr>
        <w:tc>
          <w:tcPr>
            <w:tcW w:type="dxa" w:w="2600"/>
            <w:tcMar>
              <w:top w:type="dxa" w:w="80"/>
              <w:left w:type="dxa" w:w="110"/>
              <w:bottom w:type="dxa" w:w="80"/>
              <w:right w:type="dxa" w:w="110"/>
            </w:tcMar>
          </w:tcPr>
          <w:p>
            <w:pPr>
              <w:spacing w:after="0" w:line="260"/>
            </w:pPr>
            <w:r>
              <w:rPr>
                <w:rFonts w:ascii="Calibri" w:cs="Calibri" w:eastAsia="Calibri" w:hAnsi="Calibri"/>
                <w:sz w:val="19"/>
                <w:szCs w:val="19"/>
              </w:rPr>
              <w:t xml:space="preserve">Confidentialité</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Document interne — diffusion restreinte</w:t>
            </w:r>
          </w:p>
        </w:tc>
      </w:tr>
    </w:tbl>
    <w:p>
      <w:r>
        <w:br w:type="page"/>
      </w:r>
    </w:p>
    <w:p>
      <w:pPr>
        <w:sectPr>
          <w:pgSz w:w="11906" w:h="16838" w:orient="portrait"/>
          <w:pgMar w:top="1440" w:right="1440" w:bottom="1440" w:left="1440" w:header="708" w:footer="708" w:gutter="0"/>
          <w:pgNumType/>
          <w:docGrid w:linePitch="360"/>
        </w:sectPr>
      </w:pPr>
    </w:p>
    <w:p>
      <w:pPr>
        <w:pStyle w:val="Heading1"/>
        <w:spacing w:after="160"/>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1. Contexte et objet</w:t>
      </w:r>
    </w:p>
    <w:p>
      <w:pPr>
        <w:pStyle w:val="Heading2"/>
        <w:spacing w:after="120" w:before="240"/>
      </w:pPr>
      <w:r>
        <w:t xml:space="preserve">1.1 Présentation de l’organisation</w:t>
      </w:r>
    </w:p>
    <w:p>
      <w:pPr>
        <w:spacing w:after="120" w:line="276"/>
      </w:pPr>
      <w:r>
        <w:rPr>
          <w:rFonts w:ascii="Calibri" w:cs="Calibri" w:eastAsia="Calibri" w:hAnsi="Calibri"/>
          <w:sz w:val="21"/>
          <w:szCs w:val="21"/>
        </w:rPr>
        <w:t xml:space="preserve">Le CRADESC (Centre de Recherche et d’Action sur les Droits Économiques, Sociaux et Culturels) conduit des activités de recherche, de plaidoyer et de renforcement de capacités, structurées en programmes et projets financés par des bailleurs. Son fonctionnement repose sur des circuits internes de validation (termes de référence, achats, paiements, missions) et sur une exigence forte de traçabilité vis-à-vis des bailleurs et de l’audit interne.</w:t>
      </w:r>
    </w:p>
    <w:p>
      <w:pPr>
        <w:pStyle w:val="Heading2"/>
        <w:spacing w:after="120" w:before="240"/>
      </w:pPr>
      <w:r>
        <w:t xml:space="preserve">1.2 Contexte du projet</w:t>
      </w:r>
    </w:p>
    <w:p>
      <w:pPr>
        <w:spacing w:after="120" w:line="276"/>
      </w:pPr>
      <w:r>
        <w:rPr>
          <w:rFonts w:ascii="Calibri" w:cs="Calibri" w:eastAsia="Calibri" w:hAnsi="Calibri"/>
          <w:sz w:val="21"/>
          <w:szCs w:val="21"/>
        </w:rPr>
        <w:t xml:space="preserve">Les processus internes sont aujourd’hui dispersés entre tableurs, courriels et documents partagés. Il en résulte des ressaisies multiples, une visibilité incomplète sur la consommation budgétaire, des délais de validation difficiles à suivre et une traçabilité insuffisante pour l’audit. Le CRADESC souhaite disposer d’un intranet unifié réunissant ses six processus métier autour d’une source unique de vérité.</w:t>
      </w:r>
    </w:p>
    <w:p>
      <w:pPr>
        <w:pStyle w:val="Heading2"/>
        <w:spacing w:after="120" w:before="240"/>
      </w:pPr>
      <w:r>
        <w:t xml:space="preserve">1.3 Objet du présent cahier des charges</w:t>
      </w:r>
    </w:p>
    <w:p>
      <w:pPr>
        <w:spacing w:after="120" w:line="276"/>
      </w:pPr>
      <w:r>
        <w:rPr>
          <w:rFonts w:ascii="Calibri" w:cs="Calibri" w:eastAsia="Calibri" w:hAnsi="Calibri"/>
          <w:sz w:val="21"/>
          <w:szCs w:val="21"/>
        </w:rPr>
        <w:t xml:space="preserve">Ce document définit les besoins, les exigences fonctionnelles et techniques, les livrables attendus, le phasage et les critères de recette de la suite numérique interne du CRADESC. Il constitue la référence contractuelle entre le CRADESC (maître d’ouvrage) et le prestataire chargé de la réalisation, du déploiement et de la maintenance.</w:t>
      </w:r>
    </w:p>
    <w:p>
      <w:pPr>
        <w:spacing w:after="120" w:line="276"/>
      </w:pPr>
      <w:r>
        <w:rPr>
          <w:rFonts w:ascii="Calibri" w:cs="Calibri" w:eastAsia="Calibri" w:hAnsi="Calibri"/>
          <w:sz w:val="21"/>
          <w:szCs w:val="21"/>
        </w:rPr>
        <w:t xml:space="preserve">Principe directeur : la maquette fonctionnelle validée fait foi pour l’interface et le comportement attendus. Le présent cahier des charges définit ce qui doit être réalisé ; le dossier technique développeur précise comment le réaliser côté données et services.</w:t>
      </w:r>
    </w:p>
    <w:p>
      <w:pPr>
        <w:pStyle w:val="Heading2"/>
        <w:spacing w:after="120" w:before="240"/>
      </w:pPr>
      <w:r>
        <w:t xml:space="preserve">1.4 Documents de référence</w:t>
      </w:r>
    </w:p>
    <w:tbl>
      <w:tblPr>
        <w:tblW w:type="dxa" w:w="9000"/>
        <w:tblBorders>
          <w:top w:val="single" w:color="D9D2CA" w:sz="4"/>
          <w:left w:val="single" w:color="D9D2CA" w:sz="4"/>
          <w:bottom w:val="single" w:color="D9D2CA" w:sz="4"/>
          <w:right w:val="single" w:color="D9D2CA" w:sz="4"/>
          <w:insideH w:val="single" w:color="D9D2CA" w:sz="4"/>
          <w:insideV w:val="single" w:color="D9D2CA" w:sz="4"/>
        </w:tblBorders>
      </w:tblPr>
      <w:tblGrid>
        <w:gridCol w:w="4200"/>
        <w:gridCol w:w="4800"/>
      </w:tblGrid>
      <w:tr>
        <w:trPr>
          <w:tblHeader/>
        </w:trPr>
        <w:tc>
          <w:tcPr>
            <w:tcW w:type="dxa" w:w="42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Document</w:t>
            </w:r>
          </w:p>
        </w:tc>
        <w:tc>
          <w:tcPr>
            <w:tcW w:type="dxa" w:w="48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Rôle</w:t>
            </w:r>
          </w:p>
        </w:tc>
      </w:tr>
      <w:tr>
        <w:tc>
          <w:tcPr>
            <w:tcW w:type="dxa" w:w="4200"/>
            <w:tcMar>
              <w:top w:type="dxa" w:w="80"/>
              <w:left w:type="dxa" w:w="110"/>
              <w:bottom w:type="dxa" w:w="80"/>
              <w:right w:type="dxa" w:w="110"/>
            </w:tcMar>
          </w:tcPr>
          <w:p>
            <w:pPr>
              <w:spacing w:after="0" w:line="260"/>
            </w:pPr>
            <w:r>
              <w:rPr>
                <w:rFonts w:ascii="Calibri" w:cs="Calibri" w:eastAsia="Calibri" w:hAnsi="Calibri"/>
                <w:sz w:val="19"/>
                <w:szCs w:val="19"/>
              </w:rPr>
              <w:t xml:space="preserve">Maquette fonctionnelle (intranet de démonstration)</w:t>
            </w:r>
          </w:p>
        </w:tc>
        <w:tc>
          <w:tcPr>
            <w:tcW w:type="dxa" w:w="4800"/>
            <w:tcMar>
              <w:top w:type="dxa" w:w="80"/>
              <w:left w:type="dxa" w:w="110"/>
              <w:bottom w:type="dxa" w:w="80"/>
              <w:right w:type="dxa" w:w="110"/>
            </w:tcMar>
          </w:tcPr>
          <w:p>
            <w:pPr>
              <w:spacing w:after="0" w:line="260"/>
            </w:pPr>
            <w:r>
              <w:rPr>
                <w:rFonts w:ascii="Calibri" w:cs="Calibri" w:eastAsia="Calibri" w:hAnsi="Calibri"/>
                <w:sz w:val="19"/>
                <w:szCs w:val="19"/>
              </w:rPr>
              <w:t xml:space="preserve">Référence d’interface et de comportement — « l’écran fait foi »</w:t>
            </w:r>
          </w:p>
        </w:tc>
      </w:tr>
      <w:tr>
        <w:tc>
          <w:tcPr>
            <w:tcW w:type="dxa" w:w="42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Dossier technique développeur</w:t>
            </w:r>
          </w:p>
        </w:tc>
        <w:tc>
          <w:tcPr>
            <w:tcW w:type="dxa" w:w="48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Modèle de données, règles de sécurité, fonctions serveur, recette</w:t>
            </w:r>
          </w:p>
        </w:tc>
      </w:tr>
      <w:tr>
        <w:tc>
          <w:tcPr>
            <w:tcW w:type="dxa" w:w="4200"/>
            <w:tcMar>
              <w:top w:type="dxa" w:w="80"/>
              <w:left w:type="dxa" w:w="110"/>
              <w:bottom w:type="dxa" w:w="80"/>
              <w:right w:type="dxa" w:w="110"/>
            </w:tcMar>
          </w:tcPr>
          <w:p>
            <w:pPr>
              <w:spacing w:after="0" w:line="260"/>
            </w:pPr>
            <w:r>
              <w:rPr>
                <w:rFonts w:ascii="Calibri" w:cs="Calibri" w:eastAsia="Calibri" w:hAnsi="Calibri"/>
                <w:sz w:val="19"/>
                <w:szCs w:val="19"/>
              </w:rPr>
              <w:t xml:space="preserve">Kit de démarrage Firebase</w:t>
            </w:r>
          </w:p>
        </w:tc>
        <w:tc>
          <w:tcPr>
            <w:tcW w:type="dxa" w:w="4800"/>
            <w:tcMar>
              <w:top w:type="dxa" w:w="80"/>
              <w:left w:type="dxa" w:w="110"/>
              <w:bottom w:type="dxa" w:w="80"/>
              <w:right w:type="dxa" w:w="110"/>
            </w:tcMar>
          </w:tcPr>
          <w:p>
            <w:pPr>
              <w:spacing w:after="0" w:line="260"/>
            </w:pPr>
            <w:r>
              <w:rPr>
                <w:rFonts w:ascii="Calibri" w:cs="Calibri" w:eastAsia="Calibri" w:hAnsi="Calibri"/>
                <w:sz w:val="19"/>
                <w:szCs w:val="19"/>
              </w:rPr>
              <w:t xml:space="preserve">Dépôt de départ : configuration, règles, squelettes de fonctions</w:t>
            </w:r>
          </w:p>
        </w:tc>
      </w:tr>
      <w:tr>
        <w:tc>
          <w:tcPr>
            <w:tcW w:type="dxa" w:w="42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Note d’intégration API</w:t>
            </w:r>
          </w:p>
        </w:tc>
        <w:tc>
          <w:tcPr>
            <w:tcW w:type="dxa" w:w="48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Cartographie écran → API</w:t>
            </w:r>
          </w:p>
        </w:tc>
      </w:tr>
    </w:tbl>
    <w:p>
      <w:pPr>
        <w:pStyle w:val="Heading1"/>
        <w:spacing w:after="160" w:before="320"/>
      </w:pPr>
      <w:r>
        <w:t xml:space="preserve">2. Objectifs et bénéfices attendus</w:t>
      </w:r>
    </w:p>
    <w:p>
      <w:pPr>
        <w:pStyle w:val="Heading2"/>
        <w:spacing w:after="120" w:before="240"/>
      </w:pPr>
      <w:r>
        <w:t xml:space="preserve">2.1 Objectifs généraux</w:t>
      </w:r>
    </w:p>
    <w:p>
      <w:pPr>
        <w:pStyle w:val="ListParagraph"/>
        <w:numPr>
          <w:ilvl w:val="0"/>
          <w:numId w:val="2"/>
        </w:numPr>
        <w:spacing w:after="80" w:line="276"/>
      </w:pPr>
      <w:r>
        <w:rPr>
          <w:rFonts w:ascii="Calibri" w:cs="Calibri" w:eastAsia="Calibri" w:hAnsi="Calibri"/>
          <w:sz w:val="21"/>
          <w:szCs w:val="21"/>
        </w:rPr>
        <w:t xml:space="preserve">Réunir en un seul espace les six processus métier de l’organisation.</w:t>
      </w:r>
    </w:p>
    <w:p>
      <w:pPr>
        <w:pStyle w:val="ListParagraph"/>
        <w:numPr>
          <w:ilvl w:val="0"/>
          <w:numId w:val="2"/>
        </w:numPr>
        <w:spacing w:after="80" w:line="276"/>
      </w:pPr>
      <w:r>
        <w:rPr>
          <w:rFonts w:ascii="Calibri" w:cs="Calibri" w:eastAsia="Calibri" w:hAnsi="Calibri"/>
          <w:sz w:val="21"/>
          <w:szCs w:val="21"/>
        </w:rPr>
        <w:t xml:space="preserve">Établir une source unique de vérité : une donnée saisie une fois, cohérente partout.</w:t>
      </w:r>
    </w:p>
    <w:p>
      <w:pPr>
        <w:pStyle w:val="ListParagraph"/>
        <w:numPr>
          <w:ilvl w:val="0"/>
          <w:numId w:val="2"/>
        </w:numPr>
        <w:spacing w:after="80" w:line="276"/>
      </w:pPr>
      <w:r>
        <w:rPr>
          <w:rFonts w:ascii="Calibri" w:cs="Calibri" w:eastAsia="Calibri" w:hAnsi="Calibri"/>
          <w:sz w:val="21"/>
          <w:szCs w:val="21"/>
        </w:rPr>
        <w:t xml:space="preserve">Automatiser les passerelles entre processus afin d’éliminer les ressaisies et les doubles comptages.</w:t>
      </w:r>
    </w:p>
    <w:p>
      <w:pPr>
        <w:pStyle w:val="ListParagraph"/>
        <w:numPr>
          <w:ilvl w:val="0"/>
          <w:numId w:val="2"/>
        </w:numPr>
        <w:spacing w:after="80" w:line="276"/>
      </w:pPr>
      <w:r>
        <w:rPr>
          <w:rFonts w:ascii="Calibri" w:cs="Calibri" w:eastAsia="Calibri" w:hAnsi="Calibri"/>
          <w:sz w:val="21"/>
          <w:szCs w:val="21"/>
        </w:rPr>
        <w:t xml:space="preserve">Garantir la traçabilité intégrale des validations et des décaissements pour l’audit et les bailleurs.</w:t>
      </w:r>
    </w:p>
    <w:p>
      <w:pPr>
        <w:pStyle w:val="ListParagraph"/>
        <w:numPr>
          <w:ilvl w:val="0"/>
          <w:numId w:val="2"/>
        </w:numPr>
        <w:spacing w:after="80" w:line="276"/>
      </w:pPr>
      <w:r>
        <w:rPr>
          <w:rFonts w:ascii="Calibri" w:cs="Calibri" w:eastAsia="Calibri" w:hAnsi="Calibri"/>
          <w:sz w:val="21"/>
          <w:szCs w:val="21"/>
        </w:rPr>
        <w:t xml:space="preserve">Appliquer un contrôle d’accès par rôle, opposable côté serveur.</w:t>
      </w:r>
    </w:p>
    <w:p>
      <w:pPr>
        <w:pStyle w:val="ListParagraph"/>
        <w:numPr>
          <w:ilvl w:val="0"/>
          <w:numId w:val="2"/>
        </w:numPr>
        <w:spacing w:after="80" w:line="276"/>
      </w:pPr>
      <w:r>
        <w:rPr>
          <w:rFonts w:ascii="Calibri" w:cs="Calibri" w:eastAsia="Calibri" w:hAnsi="Calibri"/>
          <w:sz w:val="21"/>
          <w:szCs w:val="21"/>
        </w:rPr>
        <w:t xml:space="preserve">Offrir une visibilité budgétaire consolidée et fiable à la direction.</w:t>
      </w:r>
    </w:p>
    <w:p>
      <w:pPr>
        <w:pStyle w:val="Heading2"/>
        <w:spacing w:after="120" w:before="240"/>
      </w:pPr>
      <w:r>
        <w:t xml:space="preserve">2.2 Indicateurs de succès</w:t>
      </w:r>
    </w:p>
    <w:tbl>
      <w:tblPr>
        <w:tblW w:type="dxa" w:w="9000"/>
        <w:tblBorders>
          <w:top w:val="single" w:color="D9D2CA" w:sz="4"/>
          <w:left w:val="single" w:color="D9D2CA" w:sz="4"/>
          <w:bottom w:val="single" w:color="D9D2CA" w:sz="4"/>
          <w:right w:val="single" w:color="D9D2CA" w:sz="4"/>
          <w:insideH w:val="single" w:color="D9D2CA" w:sz="4"/>
          <w:insideV w:val="single" w:color="D9D2CA" w:sz="4"/>
        </w:tblBorders>
      </w:tblPr>
      <w:tblGrid>
        <w:gridCol w:w="5600"/>
        <w:gridCol w:w="3400"/>
      </w:tblGrid>
      <w:tr>
        <w:trPr>
          <w:tblHeader/>
        </w:trPr>
        <w:tc>
          <w:tcPr>
            <w:tcW w:type="dxa" w:w="56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Indicateur</w:t>
            </w:r>
          </w:p>
        </w:tc>
        <w:tc>
          <w:tcPr>
            <w:tcW w:type="dxa" w:w="34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Cible</w:t>
            </w:r>
          </w:p>
        </w:tc>
      </w:tr>
      <w:tr>
        <w:tc>
          <w:tcPr>
            <w:tcW w:type="dxa" w:w="5600"/>
            <w:tcMar>
              <w:top w:type="dxa" w:w="80"/>
              <w:left w:type="dxa" w:w="110"/>
              <w:bottom w:type="dxa" w:w="80"/>
              <w:right w:type="dxa" w:w="110"/>
            </w:tcMar>
          </w:tcPr>
          <w:p>
            <w:pPr>
              <w:spacing w:after="0" w:line="260"/>
            </w:pPr>
            <w:r>
              <w:rPr>
                <w:rFonts w:ascii="Calibri" w:cs="Calibri" w:eastAsia="Calibri" w:hAnsi="Calibri"/>
                <w:sz w:val="19"/>
                <w:szCs w:val="19"/>
              </w:rPr>
              <w:t xml:space="preserve">Ressaisie entre processus (avance de mission → paiement)</w:t>
            </w:r>
          </w:p>
        </w:tc>
        <w:tc>
          <w:tcPr>
            <w:tcW w:type="dxa" w:w="3400"/>
            <w:tcMar>
              <w:top w:type="dxa" w:w="80"/>
              <w:left w:type="dxa" w:w="110"/>
              <w:bottom w:type="dxa" w:w="80"/>
              <w:right w:type="dxa" w:w="110"/>
            </w:tcMar>
          </w:tcPr>
          <w:p>
            <w:pPr>
              <w:spacing w:after="0" w:line="260"/>
            </w:pPr>
            <w:r>
              <w:rPr>
                <w:rFonts w:ascii="Calibri" w:cs="Calibri" w:eastAsia="Calibri" w:hAnsi="Calibri"/>
                <w:sz w:val="19"/>
                <w:szCs w:val="19"/>
              </w:rPr>
              <w:t xml:space="preserve">Supprimée (création automatique)</w:t>
            </w:r>
          </w:p>
        </w:tc>
      </w:tr>
      <w:tr>
        <w:tc>
          <w:tcPr>
            <w:tcW w:type="dxa" w:w="56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Cohérence de la disponibilité budgétaire entre plateformes</w:t>
            </w:r>
          </w:p>
        </w:tc>
        <w:tc>
          <w:tcPr>
            <w:tcW w:type="dxa" w:w="3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100 % (calcul serveur unique)</w:t>
            </w:r>
          </w:p>
        </w:tc>
      </w:tr>
      <w:tr>
        <w:tc>
          <w:tcPr>
            <w:tcW w:type="dxa" w:w="5600"/>
            <w:tcMar>
              <w:top w:type="dxa" w:w="80"/>
              <w:left w:type="dxa" w:w="110"/>
              <w:bottom w:type="dxa" w:w="80"/>
              <w:right w:type="dxa" w:w="110"/>
            </w:tcMar>
          </w:tcPr>
          <w:p>
            <w:pPr>
              <w:spacing w:after="0" w:line="260"/>
            </w:pPr>
            <w:r>
              <w:rPr>
                <w:rFonts w:ascii="Calibri" w:cs="Calibri" w:eastAsia="Calibri" w:hAnsi="Calibri"/>
                <w:sz w:val="19"/>
                <w:szCs w:val="19"/>
              </w:rPr>
              <w:t xml:space="preserve">Traçabilité des validations et décaissements</w:t>
            </w:r>
          </w:p>
        </w:tc>
        <w:tc>
          <w:tcPr>
            <w:tcW w:type="dxa" w:w="3400"/>
            <w:tcMar>
              <w:top w:type="dxa" w:w="80"/>
              <w:left w:type="dxa" w:w="110"/>
              <w:bottom w:type="dxa" w:w="80"/>
              <w:right w:type="dxa" w:w="110"/>
            </w:tcMar>
          </w:tcPr>
          <w:p>
            <w:pPr>
              <w:spacing w:after="0" w:line="260"/>
            </w:pPr>
            <w:r>
              <w:rPr>
                <w:rFonts w:ascii="Calibri" w:cs="Calibri" w:eastAsia="Calibri" w:hAnsi="Calibri"/>
                <w:sz w:val="19"/>
                <w:szCs w:val="19"/>
              </w:rPr>
              <w:t xml:space="preserve">100 % des opérations journalisées</w:t>
            </w:r>
          </w:p>
        </w:tc>
      </w:tr>
      <w:tr>
        <w:tc>
          <w:tcPr>
            <w:tcW w:type="dxa" w:w="56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Délai d’accès à un indicateur consolidé de direction</w:t>
            </w:r>
          </w:p>
        </w:tc>
        <w:tc>
          <w:tcPr>
            <w:tcW w:type="dxa" w:w="3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Immédiat (tableau de bord)</w:t>
            </w:r>
          </w:p>
        </w:tc>
      </w:tr>
      <w:tr>
        <w:tc>
          <w:tcPr>
            <w:tcW w:type="dxa" w:w="5600"/>
            <w:tcMar>
              <w:top w:type="dxa" w:w="80"/>
              <w:left w:type="dxa" w:w="110"/>
              <w:bottom w:type="dxa" w:w="80"/>
              <w:right w:type="dxa" w:w="110"/>
            </w:tcMar>
          </w:tcPr>
          <w:p>
            <w:pPr>
              <w:spacing w:after="0" w:line="260"/>
            </w:pPr>
            <w:r>
              <w:rPr>
                <w:rFonts w:ascii="Calibri" w:cs="Calibri" w:eastAsia="Calibri" w:hAnsi="Calibri"/>
                <w:sz w:val="19"/>
                <w:szCs w:val="19"/>
              </w:rPr>
              <w:t xml:space="preserve">Accès non autorisé à une plateforme réservée</w:t>
            </w:r>
          </w:p>
        </w:tc>
        <w:tc>
          <w:tcPr>
            <w:tcW w:type="dxa" w:w="3400"/>
            <w:tcMar>
              <w:top w:type="dxa" w:w="80"/>
              <w:left w:type="dxa" w:w="110"/>
              <w:bottom w:type="dxa" w:w="80"/>
              <w:right w:type="dxa" w:w="110"/>
            </w:tcMar>
          </w:tcPr>
          <w:p>
            <w:pPr>
              <w:spacing w:after="0" w:line="260"/>
            </w:pPr>
            <w:r>
              <w:rPr>
                <w:rFonts w:ascii="Calibri" w:cs="Calibri" w:eastAsia="Calibri" w:hAnsi="Calibri"/>
                <w:sz w:val="19"/>
                <w:szCs w:val="19"/>
              </w:rPr>
              <w:t xml:space="preserve">Aucun (refus côté serveur)</w:t>
            </w:r>
          </w:p>
        </w:tc>
      </w:tr>
    </w:tbl>
    <w:p>
      <w:pPr>
        <w:pStyle w:val="Heading1"/>
        <w:spacing w:after="160" w:before="320"/>
      </w:pPr>
      <w:r>
        <w:t xml:space="preserve">3. Périmètre</w:t>
      </w:r>
    </w:p>
    <w:p>
      <w:pPr>
        <w:pStyle w:val="Heading2"/>
        <w:spacing w:after="120" w:before="240"/>
      </w:pPr>
      <w:r>
        <w:t xml:space="preserve">3.1 Vue d’ensemble</w:t>
      </w:r>
    </w:p>
    <w:p>
      <w:pPr>
        <w:spacing w:after="120" w:line="276"/>
      </w:pPr>
      <w:r>
        <w:rPr>
          <w:rFonts w:ascii="Calibri" w:cs="Calibri" w:eastAsia="Calibri" w:hAnsi="Calibri"/>
          <w:sz w:val="21"/>
          <w:szCs w:val="21"/>
        </w:rPr>
        <w:t xml:space="preserve">La solution est un intranet auquel l’agent se connecte avec son compte professionnel. Il accède à un accueil rassemblant l’essentiel de sa journée (indicateurs personnels, aperçus messagerie et agenda, documents récents), puis aux plateformes autorisées par son rôle.</w:t>
      </w:r>
    </w:p>
    <w:p>
      <w:pPr>
        <w:pStyle w:val="Heading2"/>
        <w:spacing w:after="120" w:before="240"/>
      </w:pPr>
      <w:r>
        <w:t xml:space="preserve">3.2 Les six plateformes</w:t>
      </w:r>
    </w:p>
    <w:tbl>
      <w:tblPr>
        <w:tblW w:type="dxa" w:w="9000"/>
        <w:tblBorders>
          <w:top w:val="single" w:color="D9D2CA" w:sz="4"/>
          <w:left w:val="single" w:color="D9D2CA" w:sz="4"/>
          <w:bottom w:val="single" w:color="D9D2CA" w:sz="4"/>
          <w:right w:val="single" w:color="D9D2CA" w:sz="4"/>
          <w:insideH w:val="single" w:color="D9D2CA" w:sz="4"/>
          <w:insideV w:val="single" w:color="D9D2CA" w:sz="4"/>
        </w:tblBorders>
      </w:tblPr>
      <w:tblGrid>
        <w:gridCol w:w="2600"/>
        <w:gridCol w:w="6400"/>
      </w:tblGrid>
      <w:tr>
        <w:trPr>
          <w:tblHeader/>
        </w:trPr>
        <w:tc>
          <w:tcPr>
            <w:tcW w:type="dxa" w:w="26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Plateforme</w:t>
            </w:r>
          </w:p>
        </w:tc>
        <w:tc>
          <w:tcPr>
            <w:tcW w:type="dxa" w:w="64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Objet</w:t>
            </w:r>
          </w:p>
        </w:tc>
      </w:tr>
      <w:tr>
        <w:tc>
          <w:tcPr>
            <w:tcW w:type="dxa" w:w="2600"/>
            <w:tcMar>
              <w:top w:type="dxa" w:w="80"/>
              <w:left w:type="dxa" w:w="110"/>
              <w:bottom w:type="dxa" w:w="80"/>
              <w:right w:type="dxa" w:w="110"/>
            </w:tcMar>
          </w:tcPr>
          <w:p>
            <w:pPr>
              <w:spacing w:after="0" w:line="260"/>
            </w:pPr>
            <w:r>
              <w:rPr>
                <w:rFonts w:ascii="Calibri" w:cs="Calibri" w:eastAsia="Calibri" w:hAnsi="Calibri"/>
                <w:sz w:val="19"/>
                <w:szCs w:val="19"/>
              </w:rPr>
              <w:t xml:space="preserve">Pilotage</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Programmes, projets, activités, tâches, budget ; et la revue : réunions, décisions, actions, points de vigilance.</w:t>
            </w:r>
          </w:p>
        </w:tc>
      </w:tr>
      <w:tr>
        <w:tc>
          <w:tcPr>
            <w:tcW w:type="dxa" w:w="26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Validation des TdR</w:t>
            </w:r>
          </w:p>
        </w:tc>
        <w:tc>
          <w:tcPr>
            <w:tcW w:type="dxa" w:w="6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Rédaction et circuit de validation des termes de référence ; centralisation des livrables.</w:t>
            </w:r>
          </w:p>
        </w:tc>
      </w:tr>
      <w:tr>
        <w:tc>
          <w:tcPr>
            <w:tcW w:type="dxa" w:w="2600"/>
            <w:tcMar>
              <w:top w:type="dxa" w:w="80"/>
              <w:left w:type="dxa" w:w="110"/>
              <w:bottom w:type="dxa" w:w="80"/>
              <w:right w:type="dxa" w:w="110"/>
            </w:tcMar>
          </w:tcPr>
          <w:p>
            <w:pPr>
              <w:spacing w:after="0" w:line="260"/>
            </w:pPr>
            <w:r>
              <w:rPr>
                <w:rFonts w:ascii="Calibri" w:cs="Calibri" w:eastAsia="Calibri" w:hAnsi="Calibri"/>
                <w:sz w:val="19"/>
                <w:szCs w:val="19"/>
              </w:rPr>
              <w:t xml:space="preserve">Achats</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Réquisitions et demandes d’achat, validation par seuils, émission des bons de commande.</w:t>
            </w:r>
          </w:p>
        </w:tc>
      </w:tr>
      <w:tr>
        <w:tc>
          <w:tcPr>
            <w:tcW w:type="dxa" w:w="26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Demandes de paiement</w:t>
            </w:r>
          </w:p>
        </w:tc>
        <w:tc>
          <w:tcPr>
            <w:tcW w:type="dxa" w:w="6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Engagement, ordonnancement et suivi des décaissements.</w:t>
            </w:r>
          </w:p>
        </w:tc>
      </w:tr>
      <w:tr>
        <w:tc>
          <w:tcPr>
            <w:tcW w:type="dxa" w:w="2600"/>
            <w:tcMar>
              <w:top w:type="dxa" w:w="80"/>
              <w:left w:type="dxa" w:w="110"/>
              <w:bottom w:type="dxa" w:w="80"/>
              <w:right w:type="dxa" w:w="110"/>
            </w:tcMar>
          </w:tcPr>
          <w:p>
            <w:pPr>
              <w:spacing w:after="0" w:line="260"/>
            </w:pPr>
            <w:r>
              <w:rPr>
                <w:rFonts w:ascii="Calibri" w:cs="Calibri" w:eastAsia="Calibri" w:hAnsi="Calibri"/>
                <w:sz w:val="19"/>
                <w:szCs w:val="19"/>
              </w:rPr>
              <w:t xml:space="preserve">Ordres de mission</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Préparation et validation des missions terrain, coûts, avances, rapports.</w:t>
            </w:r>
          </w:p>
        </w:tc>
      </w:tr>
      <w:tr>
        <w:tc>
          <w:tcPr>
            <w:tcW w:type="dxa" w:w="26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Tableau de bord direction</w:t>
            </w:r>
          </w:p>
        </w:tc>
        <w:tc>
          <w:tcPr>
            <w:tcW w:type="dxa" w:w="6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Vue consolidée du portefeuille et des indicateurs (réservée à la direction).</w:t>
            </w:r>
          </w:p>
        </w:tc>
      </w:tr>
    </w:tbl>
    <w:p>
      <w:pPr>
        <w:spacing w:after="120"/>
      </w:pPr>
    </w:p>
    <w:p>
      <w:pPr>
        <w:spacing w:after="120" w:line="276"/>
      </w:pPr>
      <w:r>
        <w:rPr>
          <w:rFonts w:ascii="Calibri" w:cs="Calibri" w:eastAsia="Calibri" w:hAnsi="Calibri"/>
          <w:i/>
          <w:iCs/>
          <w:sz w:val="21"/>
          <w:szCs w:val="21"/>
        </w:rPr>
        <w:t xml:space="preserve">Il n’existe pas de plateforme « Coordination » distincte : ses fonctions (réunions, décisions, actions, points de vigilance) sont portées par le module Revue de Pilotage.</w:t>
      </w:r>
    </w:p>
    <w:p>
      <w:pPr>
        <w:pStyle w:val="Heading2"/>
        <w:spacing w:after="120" w:before="240"/>
      </w:pPr>
      <w:r>
        <w:t xml:space="preserve">3.3 Hors périmètre</w:t>
      </w:r>
    </w:p>
    <w:p>
      <w:pPr>
        <w:pStyle w:val="ListParagraph"/>
        <w:numPr>
          <w:ilvl w:val="0"/>
          <w:numId w:val="2"/>
        </w:numPr>
        <w:spacing w:after="80" w:line="276"/>
      </w:pPr>
      <w:r>
        <w:rPr>
          <w:rFonts w:ascii="Calibri" w:cs="Calibri" w:eastAsia="Calibri" w:hAnsi="Calibri"/>
          <w:sz w:val="21"/>
          <w:szCs w:val="21"/>
        </w:rPr>
        <w:t xml:space="preserve">Comptabilité générale et production des états financiers légaux.</w:t>
      </w:r>
    </w:p>
    <w:p>
      <w:pPr>
        <w:pStyle w:val="ListParagraph"/>
        <w:numPr>
          <w:ilvl w:val="0"/>
          <w:numId w:val="2"/>
        </w:numPr>
        <w:spacing w:after="80" w:line="276"/>
      </w:pPr>
      <w:r>
        <w:rPr>
          <w:rFonts w:ascii="Calibri" w:cs="Calibri" w:eastAsia="Calibri" w:hAnsi="Calibri"/>
          <w:sz w:val="21"/>
          <w:szCs w:val="21"/>
        </w:rPr>
        <w:t xml:space="preserve">Gestion de la paie et du dossier individuel du personnel.</w:t>
      </w:r>
    </w:p>
    <w:p>
      <w:pPr>
        <w:pStyle w:val="ListParagraph"/>
        <w:numPr>
          <w:ilvl w:val="0"/>
          <w:numId w:val="2"/>
        </w:numPr>
        <w:spacing w:after="80" w:line="276"/>
      </w:pPr>
      <w:r>
        <w:rPr>
          <w:rFonts w:ascii="Calibri" w:cs="Calibri" w:eastAsia="Calibri" w:hAnsi="Calibri"/>
          <w:sz w:val="21"/>
          <w:szCs w:val="21"/>
        </w:rPr>
        <w:t xml:space="preserve">Site web public du CRADESC (simple lien depuis l’intranet).</w:t>
      </w:r>
    </w:p>
    <w:p>
      <w:pPr>
        <w:pStyle w:val="ListParagraph"/>
        <w:numPr>
          <w:ilvl w:val="0"/>
          <w:numId w:val="2"/>
        </w:numPr>
        <w:spacing w:after="80" w:line="276"/>
      </w:pPr>
      <w:r>
        <w:rPr>
          <w:rFonts w:ascii="Calibri" w:cs="Calibri" w:eastAsia="Calibri" w:hAnsi="Calibri"/>
          <w:sz w:val="21"/>
          <w:szCs w:val="21"/>
        </w:rPr>
        <w:t xml:space="preserve">Archivage légal à valeur probante au-delà du journal d’audit applicatif.</w:t>
      </w:r>
    </w:p>
    <w:p>
      <w:pPr>
        <w:pStyle w:val="Heading1"/>
        <w:spacing w:after="160" w:before="320"/>
      </w:pPr>
      <w:r>
        <w:t xml:space="preserve">4. Exigences fonctionnelles</w:t>
      </w:r>
    </w:p>
    <w:p>
      <w:pPr>
        <w:spacing w:after="120" w:line="276"/>
      </w:pPr>
      <w:r>
        <w:rPr>
          <w:rFonts w:ascii="Calibri" w:cs="Calibri" w:eastAsia="Calibri" w:hAnsi="Calibri"/>
          <w:b/>
          <w:bCs/>
          <w:sz w:val="21"/>
          <w:szCs w:val="21"/>
        </w:rPr>
        <w:t xml:space="preserve">Priorités : </w:t>
      </w:r>
    </w:p>
    <w:p>
      <w:pPr>
        <w:pStyle w:val="ListParagraph"/>
        <w:numPr>
          <w:ilvl w:val="0"/>
          <w:numId w:val="2"/>
        </w:numPr>
        <w:spacing w:after="80" w:line="276"/>
      </w:pPr>
      <w:r>
        <w:rPr>
          <w:rFonts w:ascii="Calibri" w:cs="Calibri" w:eastAsia="Calibri" w:hAnsi="Calibri"/>
          <w:sz w:val="21"/>
          <w:szCs w:val="21"/>
        </w:rPr>
        <w:t xml:space="preserve">Indispensable — condition d’acceptation de la solution.</w:t>
      </w:r>
    </w:p>
    <w:p>
      <w:pPr>
        <w:pStyle w:val="ListParagraph"/>
        <w:numPr>
          <w:ilvl w:val="0"/>
          <w:numId w:val="2"/>
        </w:numPr>
        <w:spacing w:after="80" w:line="276"/>
      </w:pPr>
      <w:r>
        <w:rPr>
          <w:rFonts w:ascii="Calibri" w:cs="Calibri" w:eastAsia="Calibri" w:hAnsi="Calibri"/>
          <w:sz w:val="21"/>
          <w:szCs w:val="21"/>
        </w:rPr>
        <w:t xml:space="preserve">Important — attendu, peut être livré dans un lot ultérieur.</w:t>
      </w:r>
    </w:p>
    <w:p>
      <w:pPr>
        <w:pStyle w:val="ListParagraph"/>
        <w:numPr>
          <w:ilvl w:val="0"/>
          <w:numId w:val="2"/>
        </w:numPr>
        <w:spacing w:after="80" w:line="276"/>
      </w:pPr>
      <w:r>
        <w:rPr>
          <w:rFonts w:ascii="Calibri" w:cs="Calibri" w:eastAsia="Calibri" w:hAnsi="Calibri"/>
          <w:sz w:val="21"/>
          <w:szCs w:val="21"/>
        </w:rPr>
        <w:t xml:space="preserve">Souhaitable — amélioration si le budget et le calendrier le permettent.</w:t>
      </w:r>
    </w:p>
    <w:p>
      <w:pPr>
        <w:pStyle w:val="Heading2"/>
        <w:spacing w:after="120" w:before="240"/>
      </w:pPr>
      <w:r>
        <w:t xml:space="preserve">4.1 Portail et accueil</w:t>
      </w:r>
    </w:p>
    <w:tbl>
      <w:tblPr>
        <w:tblW w:type="dxa" w:w="9000"/>
        <w:tblBorders>
          <w:top w:val="single" w:color="D9D2CA" w:sz="4"/>
          <w:left w:val="single" w:color="D9D2CA" w:sz="4"/>
          <w:bottom w:val="single" w:color="D9D2CA" w:sz="4"/>
          <w:right w:val="single" w:color="D9D2CA" w:sz="4"/>
          <w:insideH w:val="single" w:color="D9D2CA" w:sz="4"/>
          <w:insideV w:val="single" w:color="D9D2CA" w:sz="4"/>
        </w:tblBorders>
      </w:tblPr>
      <w:tblGrid>
        <w:gridCol w:w="1100"/>
        <w:gridCol w:w="6400"/>
        <w:gridCol w:w="1500"/>
      </w:tblGrid>
      <w:tr>
        <w:trPr>
          <w:tblHeader/>
        </w:trPr>
        <w:tc>
          <w:tcPr>
            <w:tcW w:type="dxa" w:w="11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Réf.</w:t>
            </w:r>
          </w:p>
        </w:tc>
        <w:tc>
          <w:tcPr>
            <w:tcW w:type="dxa" w:w="64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Exigence</w:t>
            </w:r>
          </w:p>
        </w:tc>
        <w:tc>
          <w:tcPr>
            <w:tcW w:type="dxa" w:w="15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Priorité</w:t>
            </w:r>
          </w:p>
        </w:tc>
      </w:tr>
      <w:tr>
        <w:tc>
          <w:tcPr>
            <w:tcW w:type="dxa" w:w="1100"/>
            <w:tcMar>
              <w:top w:type="dxa" w:w="80"/>
              <w:left w:type="dxa" w:w="110"/>
              <w:bottom w:type="dxa" w:w="80"/>
              <w:right w:type="dxa" w:w="110"/>
            </w:tcMar>
          </w:tcPr>
          <w:p>
            <w:pPr>
              <w:spacing w:after="0" w:line="260"/>
            </w:pPr>
            <w:r>
              <w:rPr>
                <w:rFonts w:ascii="Calibri" w:cs="Calibri" w:eastAsia="Calibri" w:hAnsi="Calibri"/>
                <w:sz w:val="19"/>
                <w:szCs w:val="19"/>
              </w:rPr>
              <w:t xml:space="preserve">EF-01</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Connexion par compte professionnel ; aucun mot de passe conservé en clair par l’application.</w:t>
            </w:r>
          </w:p>
        </w:tc>
        <w:tc>
          <w:tcPr>
            <w:tcW w:type="dxa" w:w="1500"/>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EF-02</w:t>
            </w:r>
          </w:p>
        </w:tc>
        <w:tc>
          <w:tcPr>
            <w:tcW w:type="dxa" w:w="6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Page d’accueil personnalisée : indicateurs de l’agent (à valider, tâches actives, rendez-vous, engagement budgétaire).</w:t>
            </w:r>
          </w:p>
        </w:tc>
        <w:tc>
          <w:tcPr>
            <w:tcW w:type="dxa" w:w="15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tcMar>
              <w:top w:type="dxa" w:w="80"/>
              <w:left w:type="dxa" w:w="110"/>
              <w:bottom w:type="dxa" w:w="80"/>
              <w:right w:type="dxa" w:w="110"/>
            </w:tcMar>
          </w:tcPr>
          <w:p>
            <w:pPr>
              <w:spacing w:after="0" w:line="260"/>
            </w:pPr>
            <w:r>
              <w:rPr>
                <w:rFonts w:ascii="Calibri" w:cs="Calibri" w:eastAsia="Calibri" w:hAnsi="Calibri"/>
                <w:sz w:val="19"/>
                <w:szCs w:val="19"/>
              </w:rPr>
              <w:t xml:space="preserve">EF-03</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Lanceur d’applications donnant accès aux plateformes autorisées ; les plateformes non autorisées apparaissent verrouillées.</w:t>
            </w:r>
          </w:p>
        </w:tc>
        <w:tc>
          <w:tcPr>
            <w:tcW w:type="dxa" w:w="1500"/>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EF-04</w:t>
            </w:r>
          </w:p>
        </w:tc>
        <w:tc>
          <w:tcPr>
            <w:tcW w:type="dxa" w:w="6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Aperçus Google Workspace sur l’accueil : derniers messages, prochains événements, documents récents.</w:t>
            </w:r>
          </w:p>
        </w:tc>
        <w:tc>
          <w:tcPr>
            <w:tcW w:type="dxa" w:w="15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Important</w:t>
            </w:r>
          </w:p>
        </w:tc>
      </w:tr>
      <w:tr>
        <w:tc>
          <w:tcPr>
            <w:tcW w:type="dxa" w:w="1100"/>
            <w:tcMar>
              <w:top w:type="dxa" w:w="80"/>
              <w:left w:type="dxa" w:w="110"/>
              <w:bottom w:type="dxa" w:w="80"/>
              <w:right w:type="dxa" w:w="110"/>
            </w:tcMar>
          </w:tcPr>
          <w:p>
            <w:pPr>
              <w:spacing w:after="0" w:line="260"/>
            </w:pPr>
            <w:r>
              <w:rPr>
                <w:rFonts w:ascii="Calibri" w:cs="Calibri" w:eastAsia="Calibri" w:hAnsi="Calibri"/>
                <w:sz w:val="19"/>
                <w:szCs w:val="19"/>
              </w:rPr>
              <w:t xml:space="preserve">EF-05</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Recherche d’application et épinglage en favoris ; affichage grille ou liste, mémorisé par utilisateur.</w:t>
            </w:r>
          </w:p>
        </w:tc>
        <w:tc>
          <w:tcPr>
            <w:tcW w:type="dxa" w:w="1500"/>
            <w:tcMar>
              <w:top w:type="dxa" w:w="80"/>
              <w:left w:type="dxa" w:w="110"/>
              <w:bottom w:type="dxa" w:w="80"/>
              <w:right w:type="dxa" w:w="110"/>
            </w:tcMar>
          </w:tcPr>
          <w:p>
            <w:pPr>
              <w:spacing w:after="0" w:line="260"/>
            </w:pPr>
            <w:r>
              <w:rPr>
                <w:rFonts w:ascii="Calibri" w:cs="Calibri" w:eastAsia="Calibri" w:hAnsi="Calibri"/>
                <w:sz w:val="19"/>
                <w:szCs w:val="19"/>
              </w:rPr>
              <w:t xml:space="preserve">Souhaitable</w:t>
            </w:r>
          </w:p>
        </w:tc>
      </w:tr>
      <w:tr>
        <w:tc>
          <w:tcPr>
            <w:tcW w:type="dxa" w:w="11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EF-06</w:t>
            </w:r>
          </w:p>
        </w:tc>
        <w:tc>
          <w:tcPr>
            <w:tcW w:type="dxa" w:w="6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Navigation cohérente entre plateformes sans reconnexion (session unique).</w:t>
            </w:r>
          </w:p>
        </w:tc>
        <w:tc>
          <w:tcPr>
            <w:tcW w:type="dxa" w:w="15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bl>
    <w:p>
      <w:pPr>
        <w:pStyle w:val="Heading2"/>
        <w:spacing w:after="120" w:before="240"/>
      </w:pPr>
      <w:r>
        <w:t xml:space="preserve">4.2 Pilotage</w:t>
      </w:r>
    </w:p>
    <w:tbl>
      <w:tblPr>
        <w:tblW w:type="dxa" w:w="9000"/>
        <w:tblBorders>
          <w:top w:val="single" w:color="D9D2CA" w:sz="4"/>
          <w:left w:val="single" w:color="D9D2CA" w:sz="4"/>
          <w:bottom w:val="single" w:color="D9D2CA" w:sz="4"/>
          <w:right w:val="single" w:color="D9D2CA" w:sz="4"/>
          <w:insideH w:val="single" w:color="D9D2CA" w:sz="4"/>
          <w:insideV w:val="single" w:color="D9D2CA" w:sz="4"/>
        </w:tblBorders>
      </w:tblPr>
      <w:tblGrid>
        <w:gridCol w:w="1100"/>
        <w:gridCol w:w="6400"/>
        <w:gridCol w:w="1500"/>
      </w:tblGrid>
      <w:tr>
        <w:trPr>
          <w:tblHeader/>
        </w:trPr>
        <w:tc>
          <w:tcPr>
            <w:tcW w:type="dxa" w:w="11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Réf.</w:t>
            </w:r>
          </w:p>
        </w:tc>
        <w:tc>
          <w:tcPr>
            <w:tcW w:type="dxa" w:w="64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Exigence</w:t>
            </w:r>
          </w:p>
        </w:tc>
        <w:tc>
          <w:tcPr>
            <w:tcW w:type="dxa" w:w="15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Priorité</w:t>
            </w:r>
          </w:p>
        </w:tc>
      </w:tr>
      <w:tr>
        <w:tc>
          <w:tcPr>
            <w:tcW w:type="dxa" w:w="1100"/>
            <w:tcMar>
              <w:top w:type="dxa" w:w="80"/>
              <w:left w:type="dxa" w:w="110"/>
              <w:bottom w:type="dxa" w:w="80"/>
              <w:right w:type="dxa" w:w="110"/>
            </w:tcMar>
          </w:tcPr>
          <w:p>
            <w:pPr>
              <w:spacing w:after="0" w:line="260"/>
            </w:pPr>
            <w:r>
              <w:rPr>
                <w:rFonts w:ascii="Calibri" w:cs="Calibri" w:eastAsia="Calibri" w:hAnsi="Calibri"/>
                <w:sz w:val="19"/>
                <w:szCs w:val="19"/>
              </w:rPr>
              <w:t xml:space="preserve">EF-10</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Gestion des programmes, projets, activités et tâches, avec responsable, échéance, statut et avancement.</w:t>
            </w:r>
          </w:p>
        </w:tc>
        <w:tc>
          <w:tcPr>
            <w:tcW w:type="dxa" w:w="1500"/>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EF-11</w:t>
            </w:r>
          </w:p>
        </w:tc>
        <w:tc>
          <w:tcPr>
            <w:tcW w:type="dxa" w:w="6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Suivi budgétaire par programme et par projet : budget total, engagé, disponible.</w:t>
            </w:r>
          </w:p>
        </w:tc>
        <w:tc>
          <w:tcPr>
            <w:tcW w:type="dxa" w:w="15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tcMar>
              <w:top w:type="dxa" w:w="80"/>
              <w:left w:type="dxa" w:w="110"/>
              <w:bottom w:type="dxa" w:w="80"/>
              <w:right w:type="dxa" w:w="110"/>
            </w:tcMar>
          </w:tcPr>
          <w:p>
            <w:pPr>
              <w:spacing w:after="0" w:line="260"/>
            </w:pPr>
            <w:r>
              <w:rPr>
                <w:rFonts w:ascii="Calibri" w:cs="Calibri" w:eastAsia="Calibri" w:hAnsi="Calibri"/>
                <w:sz w:val="19"/>
                <w:szCs w:val="19"/>
              </w:rPr>
              <w:t xml:space="preserve">EF-12</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Module Revue : réunions (ordre du jour, participants, compte rendu), décisions, actions et points de vigilance.</w:t>
            </w:r>
          </w:p>
        </w:tc>
        <w:tc>
          <w:tcPr>
            <w:tcW w:type="dxa" w:w="1500"/>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EF-13</w:t>
            </w:r>
          </w:p>
        </w:tc>
        <w:tc>
          <w:tcPr>
            <w:tcW w:type="dxa" w:w="6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Rattachement de chaque décision à une réunion et de chaque action à une décision, avec responsable et échéance.</w:t>
            </w:r>
          </w:p>
        </w:tc>
        <w:tc>
          <w:tcPr>
            <w:tcW w:type="dxa" w:w="15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Important</w:t>
            </w:r>
          </w:p>
        </w:tc>
      </w:tr>
      <w:tr>
        <w:tc>
          <w:tcPr>
            <w:tcW w:type="dxa" w:w="1100"/>
            <w:tcMar>
              <w:top w:type="dxa" w:w="80"/>
              <w:left w:type="dxa" w:w="110"/>
              <w:bottom w:type="dxa" w:w="80"/>
              <w:right w:type="dxa" w:w="110"/>
            </w:tcMar>
          </w:tcPr>
          <w:p>
            <w:pPr>
              <w:spacing w:after="0" w:line="260"/>
            </w:pPr>
            <w:r>
              <w:rPr>
                <w:rFonts w:ascii="Calibri" w:cs="Calibri" w:eastAsia="Calibri" w:hAnsi="Calibri"/>
                <w:sz w:val="19"/>
                <w:szCs w:val="19"/>
              </w:rPr>
              <w:t xml:space="preserve">EF-14</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Alertes sur les tâches et décisions en retard ou à échéance proche.</w:t>
            </w:r>
          </w:p>
        </w:tc>
        <w:tc>
          <w:tcPr>
            <w:tcW w:type="dxa" w:w="1500"/>
            <w:tcMar>
              <w:top w:type="dxa" w:w="80"/>
              <w:left w:type="dxa" w:w="110"/>
              <w:bottom w:type="dxa" w:w="80"/>
              <w:right w:type="dxa" w:w="110"/>
            </w:tcMar>
          </w:tcPr>
          <w:p>
            <w:pPr>
              <w:spacing w:after="0" w:line="260"/>
            </w:pPr>
            <w:r>
              <w:rPr>
                <w:rFonts w:ascii="Calibri" w:cs="Calibri" w:eastAsia="Calibri" w:hAnsi="Calibri"/>
                <w:sz w:val="19"/>
                <w:szCs w:val="19"/>
              </w:rPr>
              <w:t xml:space="preserve">Important</w:t>
            </w:r>
          </w:p>
        </w:tc>
      </w:tr>
    </w:tbl>
    <w:p>
      <w:pPr>
        <w:pStyle w:val="Heading2"/>
        <w:spacing w:after="120" w:before="240"/>
      </w:pPr>
      <w:r>
        <w:t xml:space="preserve">4.3 Validation des TdR</w:t>
      </w:r>
    </w:p>
    <w:tbl>
      <w:tblPr>
        <w:tblW w:type="dxa" w:w="9000"/>
        <w:tblBorders>
          <w:top w:val="single" w:color="D9D2CA" w:sz="4"/>
          <w:left w:val="single" w:color="D9D2CA" w:sz="4"/>
          <w:bottom w:val="single" w:color="D9D2CA" w:sz="4"/>
          <w:right w:val="single" w:color="D9D2CA" w:sz="4"/>
          <w:insideH w:val="single" w:color="D9D2CA" w:sz="4"/>
          <w:insideV w:val="single" w:color="D9D2CA" w:sz="4"/>
        </w:tblBorders>
      </w:tblPr>
      <w:tblGrid>
        <w:gridCol w:w="1100"/>
        <w:gridCol w:w="6400"/>
        <w:gridCol w:w="1500"/>
      </w:tblGrid>
      <w:tr>
        <w:trPr>
          <w:tblHeader/>
        </w:trPr>
        <w:tc>
          <w:tcPr>
            <w:tcW w:type="dxa" w:w="11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Réf.</w:t>
            </w:r>
          </w:p>
        </w:tc>
        <w:tc>
          <w:tcPr>
            <w:tcW w:type="dxa" w:w="64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Exigence</w:t>
            </w:r>
          </w:p>
        </w:tc>
        <w:tc>
          <w:tcPr>
            <w:tcW w:type="dxa" w:w="15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Priorité</w:t>
            </w:r>
          </w:p>
        </w:tc>
      </w:tr>
      <w:tr>
        <w:tc>
          <w:tcPr>
            <w:tcW w:type="dxa" w:w="1100"/>
            <w:tcMar>
              <w:top w:type="dxa" w:w="80"/>
              <w:left w:type="dxa" w:w="110"/>
              <w:bottom w:type="dxa" w:w="80"/>
              <w:right w:type="dxa" w:w="110"/>
            </w:tcMar>
          </w:tcPr>
          <w:p>
            <w:pPr>
              <w:spacing w:after="0" w:line="260"/>
            </w:pPr>
            <w:r>
              <w:rPr>
                <w:rFonts w:ascii="Calibri" w:cs="Calibri" w:eastAsia="Calibri" w:hAnsi="Calibri"/>
                <w:sz w:val="19"/>
                <w:szCs w:val="19"/>
              </w:rPr>
              <w:t xml:space="preserve">EF-20</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Rédaction d’un terme de référence rattaché à un projet, avec objet et pièces jointes.</w:t>
            </w:r>
          </w:p>
        </w:tc>
        <w:tc>
          <w:tcPr>
            <w:tcW w:type="dxa" w:w="1500"/>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EF-21</w:t>
            </w:r>
          </w:p>
        </w:tc>
        <w:tc>
          <w:tcPr>
            <w:tcW w:type="dxa" w:w="6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Circuit de validation à plusieurs valideurs, avec statut et horodatage de chaque étape.</w:t>
            </w:r>
          </w:p>
        </w:tc>
        <w:tc>
          <w:tcPr>
            <w:tcW w:type="dxa" w:w="15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tcMar>
              <w:top w:type="dxa" w:w="80"/>
              <w:left w:type="dxa" w:w="110"/>
              <w:bottom w:type="dxa" w:w="80"/>
              <w:right w:type="dxa" w:w="110"/>
            </w:tcMar>
          </w:tcPr>
          <w:p>
            <w:pPr>
              <w:spacing w:after="0" w:line="260"/>
            </w:pPr>
            <w:r>
              <w:rPr>
                <w:rFonts w:ascii="Calibri" w:cs="Calibri" w:eastAsia="Calibri" w:hAnsi="Calibri"/>
                <w:sz w:val="19"/>
                <w:szCs w:val="19"/>
              </w:rPr>
              <w:t xml:space="preserve">EF-22</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Centralisation des livrables associés, stockés dans l’espace documentaire partagé.</w:t>
            </w:r>
          </w:p>
        </w:tc>
        <w:tc>
          <w:tcPr>
            <w:tcW w:type="dxa" w:w="1500"/>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EF-23</w:t>
            </w:r>
          </w:p>
        </w:tc>
        <w:tc>
          <w:tcPr>
            <w:tcW w:type="dxa" w:w="6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Relance automatique des valideurs en attente.</w:t>
            </w:r>
          </w:p>
        </w:tc>
        <w:tc>
          <w:tcPr>
            <w:tcW w:type="dxa" w:w="15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Important</w:t>
            </w:r>
          </w:p>
        </w:tc>
      </w:tr>
    </w:tbl>
    <w:p>
      <w:pPr>
        <w:pStyle w:val="Heading2"/>
        <w:spacing w:after="120" w:before="240"/>
      </w:pPr>
      <w:r>
        <w:t xml:space="preserve">4.4 Achats</w:t>
      </w:r>
    </w:p>
    <w:tbl>
      <w:tblPr>
        <w:tblW w:type="dxa" w:w="9000"/>
        <w:tblBorders>
          <w:top w:val="single" w:color="D9D2CA" w:sz="4"/>
          <w:left w:val="single" w:color="D9D2CA" w:sz="4"/>
          <w:bottom w:val="single" w:color="D9D2CA" w:sz="4"/>
          <w:right w:val="single" w:color="D9D2CA" w:sz="4"/>
          <w:insideH w:val="single" w:color="D9D2CA" w:sz="4"/>
          <w:insideV w:val="single" w:color="D9D2CA" w:sz="4"/>
        </w:tblBorders>
      </w:tblPr>
      <w:tblGrid>
        <w:gridCol w:w="1100"/>
        <w:gridCol w:w="6400"/>
        <w:gridCol w:w="1500"/>
      </w:tblGrid>
      <w:tr>
        <w:trPr>
          <w:tblHeader/>
        </w:trPr>
        <w:tc>
          <w:tcPr>
            <w:tcW w:type="dxa" w:w="11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Réf.</w:t>
            </w:r>
          </w:p>
        </w:tc>
        <w:tc>
          <w:tcPr>
            <w:tcW w:type="dxa" w:w="64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Exigence</w:t>
            </w:r>
          </w:p>
        </w:tc>
        <w:tc>
          <w:tcPr>
            <w:tcW w:type="dxa" w:w="15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Priorité</w:t>
            </w:r>
          </w:p>
        </w:tc>
      </w:tr>
      <w:tr>
        <w:tc>
          <w:tcPr>
            <w:tcW w:type="dxa" w:w="1100"/>
            <w:tcMar>
              <w:top w:type="dxa" w:w="80"/>
              <w:left w:type="dxa" w:w="110"/>
              <w:bottom w:type="dxa" w:w="80"/>
              <w:right w:type="dxa" w:w="110"/>
            </w:tcMar>
          </w:tcPr>
          <w:p>
            <w:pPr>
              <w:spacing w:after="0" w:line="260"/>
            </w:pPr>
            <w:r>
              <w:rPr>
                <w:rFonts w:ascii="Calibri" w:cs="Calibri" w:eastAsia="Calibri" w:hAnsi="Calibri"/>
                <w:sz w:val="19"/>
                <w:szCs w:val="19"/>
              </w:rPr>
              <w:t xml:space="preserve">EF-30</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Création d’une réquisition : objet, montant, fournisseur, programme d’imputation.</w:t>
            </w:r>
          </w:p>
        </w:tc>
        <w:tc>
          <w:tcPr>
            <w:tcW w:type="dxa" w:w="1500"/>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EF-31</w:t>
            </w:r>
          </w:p>
        </w:tc>
        <w:tc>
          <w:tcPr>
            <w:tcW w:type="dxa" w:w="6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Validation par seuils : le circuit dépend du montant et du rôle du valideur ; tout dépassement de seuil est refusé.</w:t>
            </w:r>
          </w:p>
        </w:tc>
        <w:tc>
          <w:tcPr>
            <w:tcW w:type="dxa" w:w="15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tcMar>
              <w:top w:type="dxa" w:w="80"/>
              <w:left w:type="dxa" w:w="110"/>
              <w:bottom w:type="dxa" w:w="80"/>
              <w:right w:type="dxa" w:w="110"/>
            </w:tcMar>
          </w:tcPr>
          <w:p>
            <w:pPr>
              <w:spacing w:after="0" w:line="260"/>
            </w:pPr>
            <w:r>
              <w:rPr>
                <w:rFonts w:ascii="Calibri" w:cs="Calibri" w:eastAsia="Calibri" w:hAnsi="Calibri"/>
                <w:sz w:val="19"/>
                <w:szCs w:val="19"/>
              </w:rPr>
              <w:t xml:space="preserve">EF-32</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Émission automatique du bon de commande à la validation, avec génération du document PDF.</w:t>
            </w:r>
          </w:p>
        </w:tc>
        <w:tc>
          <w:tcPr>
            <w:tcW w:type="dxa" w:w="1500"/>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EF-33</w:t>
            </w:r>
          </w:p>
        </w:tc>
        <w:tc>
          <w:tcPr>
            <w:tcW w:type="dxa" w:w="6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Dépôt du bon de commande dans l’espace documentaire et conservation du lien dans le dossier.</w:t>
            </w:r>
          </w:p>
        </w:tc>
        <w:tc>
          <w:tcPr>
            <w:tcW w:type="dxa" w:w="15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tcMar>
              <w:top w:type="dxa" w:w="80"/>
              <w:left w:type="dxa" w:w="110"/>
              <w:bottom w:type="dxa" w:w="80"/>
              <w:right w:type="dxa" w:w="110"/>
            </w:tcMar>
          </w:tcPr>
          <w:p>
            <w:pPr>
              <w:spacing w:after="0" w:line="260"/>
            </w:pPr>
            <w:r>
              <w:rPr>
                <w:rFonts w:ascii="Calibri" w:cs="Calibri" w:eastAsia="Calibri" w:hAnsi="Calibri"/>
                <w:sz w:val="19"/>
                <w:szCs w:val="19"/>
              </w:rPr>
              <w:t xml:space="preserve">EF-34</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Envoi du bon de commande au fournisseur par messagerie, au nom de l’organisation.</w:t>
            </w:r>
          </w:p>
        </w:tc>
        <w:tc>
          <w:tcPr>
            <w:tcW w:type="dxa" w:w="1500"/>
            <w:tcMar>
              <w:top w:type="dxa" w:w="80"/>
              <w:left w:type="dxa" w:w="110"/>
              <w:bottom w:type="dxa" w:w="80"/>
              <w:right w:type="dxa" w:w="110"/>
            </w:tcMar>
          </w:tcPr>
          <w:p>
            <w:pPr>
              <w:spacing w:after="0" w:line="260"/>
            </w:pPr>
            <w:r>
              <w:rPr>
                <w:rFonts w:ascii="Calibri" w:cs="Calibri" w:eastAsia="Calibri" w:hAnsi="Calibri"/>
                <w:sz w:val="19"/>
                <w:szCs w:val="19"/>
              </w:rPr>
              <w:t xml:space="preserve">Important</w:t>
            </w:r>
          </w:p>
        </w:tc>
      </w:tr>
      <w:tr>
        <w:tc>
          <w:tcPr>
            <w:tcW w:type="dxa" w:w="11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EF-35</w:t>
            </w:r>
          </w:p>
        </w:tc>
        <w:tc>
          <w:tcPr>
            <w:tcW w:type="dxa" w:w="6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Contrôle de la disponibilité budgétaire du programme avant engagement.</w:t>
            </w:r>
          </w:p>
        </w:tc>
        <w:tc>
          <w:tcPr>
            <w:tcW w:type="dxa" w:w="15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bl>
    <w:p>
      <w:pPr>
        <w:pStyle w:val="Heading2"/>
        <w:spacing w:after="120" w:before="240"/>
      </w:pPr>
      <w:r>
        <w:t xml:space="preserve">4.5 Demandes de paiement</w:t>
      </w:r>
    </w:p>
    <w:tbl>
      <w:tblPr>
        <w:tblW w:type="dxa" w:w="9000"/>
        <w:tblBorders>
          <w:top w:val="single" w:color="D9D2CA" w:sz="4"/>
          <w:left w:val="single" w:color="D9D2CA" w:sz="4"/>
          <w:bottom w:val="single" w:color="D9D2CA" w:sz="4"/>
          <w:right w:val="single" w:color="D9D2CA" w:sz="4"/>
          <w:insideH w:val="single" w:color="D9D2CA" w:sz="4"/>
          <w:insideV w:val="single" w:color="D9D2CA" w:sz="4"/>
        </w:tblBorders>
      </w:tblPr>
      <w:tblGrid>
        <w:gridCol w:w="1100"/>
        <w:gridCol w:w="6400"/>
        <w:gridCol w:w="1500"/>
      </w:tblGrid>
      <w:tr>
        <w:trPr>
          <w:tblHeader/>
        </w:trPr>
        <w:tc>
          <w:tcPr>
            <w:tcW w:type="dxa" w:w="11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Réf.</w:t>
            </w:r>
          </w:p>
        </w:tc>
        <w:tc>
          <w:tcPr>
            <w:tcW w:type="dxa" w:w="64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Exigence</w:t>
            </w:r>
          </w:p>
        </w:tc>
        <w:tc>
          <w:tcPr>
            <w:tcW w:type="dxa" w:w="15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Priorité</w:t>
            </w:r>
          </w:p>
        </w:tc>
      </w:tr>
      <w:tr>
        <w:tc>
          <w:tcPr>
            <w:tcW w:type="dxa" w:w="1100"/>
            <w:tcMar>
              <w:top w:type="dxa" w:w="80"/>
              <w:left w:type="dxa" w:w="110"/>
              <w:bottom w:type="dxa" w:w="80"/>
              <w:right w:type="dxa" w:w="110"/>
            </w:tcMar>
          </w:tcPr>
          <w:p>
            <w:pPr>
              <w:spacing w:after="0" w:line="260"/>
            </w:pPr>
            <w:r>
              <w:rPr>
                <w:rFonts w:ascii="Calibri" w:cs="Calibri" w:eastAsia="Calibri" w:hAnsi="Calibri"/>
                <w:sz w:val="19"/>
                <w:szCs w:val="19"/>
              </w:rPr>
              <w:t xml:space="preserve">EF-40</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Création d’une demande de paiement : type, montant, bénéficiaire, programme, pièces justificatives.</w:t>
            </w:r>
          </w:p>
        </w:tc>
        <w:tc>
          <w:tcPr>
            <w:tcW w:type="dxa" w:w="1500"/>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EF-41</w:t>
            </w:r>
          </w:p>
        </w:tc>
        <w:tc>
          <w:tcPr>
            <w:tcW w:type="dxa" w:w="6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Circuit engagement → ordonnancement → décaissement, chaque étape étant horodatée et tracée.</w:t>
            </w:r>
          </w:p>
        </w:tc>
        <w:tc>
          <w:tcPr>
            <w:tcW w:type="dxa" w:w="15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tcMar>
              <w:top w:type="dxa" w:w="80"/>
              <w:left w:type="dxa" w:w="110"/>
              <w:bottom w:type="dxa" w:w="80"/>
              <w:right w:type="dxa" w:w="110"/>
            </w:tcMar>
          </w:tcPr>
          <w:p>
            <w:pPr>
              <w:spacing w:after="0" w:line="260"/>
            </w:pPr>
            <w:r>
              <w:rPr>
                <w:rFonts w:ascii="Calibri" w:cs="Calibri" w:eastAsia="Calibri" w:hAnsi="Calibri"/>
                <w:sz w:val="19"/>
                <w:szCs w:val="19"/>
              </w:rPr>
              <w:t xml:space="preserve">EF-42</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Décaissement réservé à la direction et refusé si la disponibilité budgétaire est insuffisante.</w:t>
            </w:r>
          </w:p>
        </w:tc>
        <w:tc>
          <w:tcPr>
            <w:tcW w:type="dxa" w:w="1500"/>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EF-43</w:t>
            </w:r>
          </w:p>
        </w:tc>
        <w:tc>
          <w:tcPr>
            <w:tcW w:type="dxa" w:w="6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Impossibilité de modifier ou supprimer une demande décaissée (opération non répudiable).</w:t>
            </w:r>
          </w:p>
        </w:tc>
        <w:tc>
          <w:tcPr>
            <w:tcW w:type="dxa" w:w="15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tcMar>
              <w:top w:type="dxa" w:w="80"/>
              <w:left w:type="dxa" w:w="110"/>
              <w:bottom w:type="dxa" w:w="80"/>
              <w:right w:type="dxa" w:w="110"/>
            </w:tcMar>
          </w:tcPr>
          <w:p>
            <w:pPr>
              <w:spacing w:after="0" w:line="260"/>
            </w:pPr>
            <w:r>
              <w:rPr>
                <w:rFonts w:ascii="Calibri" w:cs="Calibri" w:eastAsia="Calibri" w:hAnsi="Calibri"/>
                <w:sz w:val="19"/>
                <w:szCs w:val="19"/>
              </w:rPr>
              <w:t xml:space="preserve">EF-44</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Rattachement des justificatifs stockés dans l’espace documentaire.</w:t>
            </w:r>
          </w:p>
        </w:tc>
        <w:tc>
          <w:tcPr>
            <w:tcW w:type="dxa" w:w="1500"/>
            <w:tcMar>
              <w:top w:type="dxa" w:w="80"/>
              <w:left w:type="dxa" w:w="110"/>
              <w:bottom w:type="dxa" w:w="80"/>
              <w:right w:type="dxa" w:w="110"/>
            </w:tcMar>
          </w:tcPr>
          <w:p>
            <w:pPr>
              <w:spacing w:after="0" w:line="260"/>
            </w:pPr>
            <w:r>
              <w:rPr>
                <w:rFonts w:ascii="Calibri" w:cs="Calibri" w:eastAsia="Calibri" w:hAnsi="Calibri"/>
                <w:sz w:val="19"/>
                <w:szCs w:val="19"/>
              </w:rPr>
              <w:t xml:space="preserve">Important</w:t>
            </w:r>
          </w:p>
        </w:tc>
      </w:tr>
    </w:tbl>
    <w:p>
      <w:pPr>
        <w:pStyle w:val="Heading2"/>
        <w:spacing w:after="120" w:before="240"/>
      </w:pPr>
      <w:r>
        <w:t xml:space="preserve">4.6 Ordres de mission</w:t>
      </w:r>
    </w:p>
    <w:tbl>
      <w:tblPr>
        <w:tblW w:type="dxa" w:w="9000"/>
        <w:tblBorders>
          <w:top w:val="single" w:color="D9D2CA" w:sz="4"/>
          <w:left w:val="single" w:color="D9D2CA" w:sz="4"/>
          <w:bottom w:val="single" w:color="D9D2CA" w:sz="4"/>
          <w:right w:val="single" w:color="D9D2CA" w:sz="4"/>
          <w:insideH w:val="single" w:color="D9D2CA" w:sz="4"/>
          <w:insideV w:val="single" w:color="D9D2CA" w:sz="4"/>
        </w:tblBorders>
      </w:tblPr>
      <w:tblGrid>
        <w:gridCol w:w="1100"/>
        <w:gridCol w:w="6400"/>
        <w:gridCol w:w="1500"/>
      </w:tblGrid>
      <w:tr>
        <w:trPr>
          <w:tblHeader/>
        </w:trPr>
        <w:tc>
          <w:tcPr>
            <w:tcW w:type="dxa" w:w="11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Réf.</w:t>
            </w:r>
          </w:p>
        </w:tc>
        <w:tc>
          <w:tcPr>
            <w:tcW w:type="dxa" w:w="64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Exigence</w:t>
            </w:r>
          </w:p>
        </w:tc>
        <w:tc>
          <w:tcPr>
            <w:tcW w:type="dxa" w:w="15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Priorité</w:t>
            </w:r>
          </w:p>
        </w:tc>
      </w:tr>
      <w:tr>
        <w:tc>
          <w:tcPr>
            <w:tcW w:type="dxa" w:w="1100"/>
            <w:tcMar>
              <w:top w:type="dxa" w:w="80"/>
              <w:left w:type="dxa" w:w="110"/>
              <w:bottom w:type="dxa" w:w="80"/>
              <w:right w:type="dxa" w:w="110"/>
            </w:tcMar>
          </w:tcPr>
          <w:p>
            <w:pPr>
              <w:spacing w:after="0" w:line="260"/>
            </w:pPr>
            <w:r>
              <w:rPr>
                <w:rFonts w:ascii="Calibri" w:cs="Calibri" w:eastAsia="Calibri" w:hAnsi="Calibri"/>
                <w:sz w:val="19"/>
                <w:szCs w:val="19"/>
              </w:rPr>
              <w:t xml:space="preserve">EF-50</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Préparation d’un ordre de mission : agent, objet, période, itinéraire, coûts prévisionnels.</w:t>
            </w:r>
          </w:p>
        </w:tc>
        <w:tc>
          <w:tcPr>
            <w:tcW w:type="dxa" w:w="1500"/>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EF-51</w:t>
            </w:r>
          </w:p>
        </w:tc>
        <w:tc>
          <w:tcPr>
            <w:tcW w:type="dxa" w:w="6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Circuit de validation de la mission et génération du document d’ordre de mission.</w:t>
            </w:r>
          </w:p>
        </w:tc>
        <w:tc>
          <w:tcPr>
            <w:tcW w:type="dxa" w:w="15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tcMar>
              <w:top w:type="dxa" w:w="80"/>
              <w:left w:type="dxa" w:w="110"/>
              <w:bottom w:type="dxa" w:w="80"/>
              <w:right w:type="dxa" w:w="110"/>
            </w:tcMar>
          </w:tcPr>
          <w:p>
            <w:pPr>
              <w:spacing w:after="0" w:line="260"/>
            </w:pPr>
            <w:r>
              <w:rPr>
                <w:rFonts w:ascii="Calibri" w:cs="Calibri" w:eastAsia="Calibri" w:hAnsi="Calibri"/>
                <w:sz w:val="19"/>
                <w:szCs w:val="19"/>
              </w:rPr>
              <w:t xml:space="preserve">EF-52</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Demande d’avance rattachée à la mission, avec montant et imputation budgétaire.</w:t>
            </w:r>
          </w:p>
        </w:tc>
        <w:tc>
          <w:tcPr>
            <w:tcW w:type="dxa" w:w="1500"/>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EF-53</w:t>
            </w:r>
          </w:p>
        </w:tc>
        <w:tc>
          <w:tcPr>
            <w:tcW w:type="dxa" w:w="6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Dépôt du rapport de mission et des justificatifs au retour.</w:t>
            </w:r>
          </w:p>
        </w:tc>
        <w:tc>
          <w:tcPr>
            <w:tcW w:type="dxa" w:w="15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Important</w:t>
            </w:r>
          </w:p>
        </w:tc>
      </w:tr>
    </w:tbl>
    <w:p>
      <w:pPr>
        <w:pStyle w:val="Heading2"/>
        <w:spacing w:after="120" w:before="240"/>
      </w:pPr>
      <w:r>
        <w:t xml:space="preserve">4.7 Tableau de bord direction</w:t>
      </w:r>
    </w:p>
    <w:tbl>
      <w:tblPr>
        <w:tblW w:type="dxa" w:w="9000"/>
        <w:tblBorders>
          <w:top w:val="single" w:color="D9D2CA" w:sz="4"/>
          <w:left w:val="single" w:color="D9D2CA" w:sz="4"/>
          <w:bottom w:val="single" w:color="D9D2CA" w:sz="4"/>
          <w:right w:val="single" w:color="D9D2CA" w:sz="4"/>
          <w:insideH w:val="single" w:color="D9D2CA" w:sz="4"/>
          <w:insideV w:val="single" w:color="D9D2CA" w:sz="4"/>
        </w:tblBorders>
      </w:tblPr>
      <w:tblGrid>
        <w:gridCol w:w="1100"/>
        <w:gridCol w:w="6400"/>
        <w:gridCol w:w="1500"/>
      </w:tblGrid>
      <w:tr>
        <w:trPr>
          <w:tblHeader/>
        </w:trPr>
        <w:tc>
          <w:tcPr>
            <w:tcW w:type="dxa" w:w="11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Réf.</w:t>
            </w:r>
          </w:p>
        </w:tc>
        <w:tc>
          <w:tcPr>
            <w:tcW w:type="dxa" w:w="64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Exigence</w:t>
            </w:r>
          </w:p>
        </w:tc>
        <w:tc>
          <w:tcPr>
            <w:tcW w:type="dxa" w:w="15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Priorité</w:t>
            </w:r>
          </w:p>
        </w:tc>
      </w:tr>
      <w:tr>
        <w:tc>
          <w:tcPr>
            <w:tcW w:type="dxa" w:w="1100"/>
            <w:tcMar>
              <w:top w:type="dxa" w:w="80"/>
              <w:left w:type="dxa" w:w="110"/>
              <w:bottom w:type="dxa" w:w="80"/>
              <w:right w:type="dxa" w:w="110"/>
            </w:tcMar>
          </w:tcPr>
          <w:p>
            <w:pPr>
              <w:spacing w:after="0" w:line="260"/>
            </w:pPr>
            <w:r>
              <w:rPr>
                <w:rFonts w:ascii="Calibri" w:cs="Calibri" w:eastAsia="Calibri" w:hAnsi="Calibri"/>
                <w:sz w:val="19"/>
                <w:szCs w:val="19"/>
              </w:rPr>
              <w:t xml:space="preserve">EF-60</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Vue consolidée du portefeuille : programmes, projets, engagement et disponibilité budgétaires.</w:t>
            </w:r>
          </w:p>
        </w:tc>
        <w:tc>
          <w:tcPr>
            <w:tcW w:type="dxa" w:w="1500"/>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EF-61</w:t>
            </w:r>
          </w:p>
        </w:tc>
        <w:tc>
          <w:tcPr>
            <w:tcW w:type="dxa" w:w="6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Indicateurs de circuit : demandes en attente, délais de validation, opérations en retard.</w:t>
            </w:r>
          </w:p>
        </w:tc>
        <w:tc>
          <w:tcPr>
            <w:tcW w:type="dxa" w:w="15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Important</w:t>
            </w:r>
          </w:p>
        </w:tc>
      </w:tr>
      <w:tr>
        <w:tc>
          <w:tcPr>
            <w:tcW w:type="dxa" w:w="1100"/>
            <w:tcMar>
              <w:top w:type="dxa" w:w="80"/>
              <w:left w:type="dxa" w:w="110"/>
              <w:bottom w:type="dxa" w:w="80"/>
              <w:right w:type="dxa" w:w="110"/>
            </w:tcMar>
          </w:tcPr>
          <w:p>
            <w:pPr>
              <w:spacing w:after="0" w:line="260"/>
            </w:pPr>
            <w:r>
              <w:rPr>
                <w:rFonts w:ascii="Calibri" w:cs="Calibri" w:eastAsia="Calibri" w:hAnsi="Calibri"/>
                <w:sz w:val="19"/>
                <w:szCs w:val="19"/>
              </w:rPr>
              <w:t xml:space="preserve">EF-62</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Accès strictement réservé à la direction et à l’administration, en lecture.</w:t>
            </w:r>
          </w:p>
        </w:tc>
        <w:tc>
          <w:tcPr>
            <w:tcW w:type="dxa" w:w="1500"/>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bl>
    <w:p>
      <w:pPr>
        <w:pStyle w:val="Heading2"/>
        <w:spacing w:after="120" w:before="240"/>
      </w:pPr>
      <w:r>
        <w:t xml:space="preserve">4.8 Passerelles entre processus</w:t>
      </w:r>
    </w:p>
    <w:p>
      <w:pPr>
        <w:spacing w:after="120" w:line="276"/>
      </w:pPr>
      <w:r>
        <w:rPr>
          <w:rFonts w:ascii="Calibri" w:cs="Calibri" w:eastAsia="Calibri" w:hAnsi="Calibri"/>
          <w:sz w:val="21"/>
          <w:szCs w:val="21"/>
        </w:rPr>
        <w:t xml:space="preserve">Les passerelles constituent le cœur de la valeur ajoutée de la solution : elles suppriment les ressaisies et garantissent la cohérence budgétaire.</w:t>
      </w:r>
    </w:p>
    <w:tbl>
      <w:tblPr>
        <w:tblW w:type="dxa" w:w="9000"/>
        <w:tblBorders>
          <w:top w:val="single" w:color="D9D2CA" w:sz="4"/>
          <w:left w:val="single" w:color="D9D2CA" w:sz="4"/>
          <w:bottom w:val="single" w:color="D9D2CA" w:sz="4"/>
          <w:right w:val="single" w:color="D9D2CA" w:sz="4"/>
          <w:insideH w:val="single" w:color="D9D2CA" w:sz="4"/>
          <w:insideV w:val="single" w:color="D9D2CA" w:sz="4"/>
        </w:tblBorders>
      </w:tblPr>
      <w:tblGrid>
        <w:gridCol w:w="1100"/>
        <w:gridCol w:w="6400"/>
        <w:gridCol w:w="1500"/>
      </w:tblGrid>
      <w:tr>
        <w:trPr>
          <w:tblHeader/>
        </w:trPr>
        <w:tc>
          <w:tcPr>
            <w:tcW w:type="dxa" w:w="11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Réf.</w:t>
            </w:r>
          </w:p>
        </w:tc>
        <w:tc>
          <w:tcPr>
            <w:tcW w:type="dxa" w:w="64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Exigence</w:t>
            </w:r>
          </w:p>
        </w:tc>
        <w:tc>
          <w:tcPr>
            <w:tcW w:type="dxa" w:w="15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Priorité</w:t>
            </w:r>
          </w:p>
        </w:tc>
      </w:tr>
      <w:tr>
        <w:tc>
          <w:tcPr>
            <w:tcW w:type="dxa" w:w="1100"/>
            <w:tcMar>
              <w:top w:type="dxa" w:w="80"/>
              <w:left w:type="dxa" w:w="110"/>
              <w:bottom w:type="dxa" w:w="80"/>
              <w:right w:type="dxa" w:w="110"/>
            </w:tcMar>
          </w:tcPr>
          <w:p>
            <w:pPr>
              <w:spacing w:after="0" w:line="260"/>
            </w:pPr>
            <w:r>
              <w:rPr>
                <w:rFonts w:ascii="Calibri" w:cs="Calibri" w:eastAsia="Calibri" w:hAnsi="Calibri"/>
                <w:sz w:val="19"/>
                <w:szCs w:val="19"/>
              </w:rPr>
              <w:t xml:space="preserve">EF-70</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Avance de mission → demande de paiement : la création d’une avance génère automatiquement une demande de paiement de source « mission », déjà approuvée, sans ressaisie.</w:t>
            </w:r>
          </w:p>
        </w:tc>
        <w:tc>
          <w:tcPr>
            <w:tcW w:type="dxa" w:w="1500"/>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EF-71</w:t>
            </w:r>
          </w:p>
        </w:tc>
        <w:tc>
          <w:tcPr>
            <w:tcW w:type="dxa" w:w="6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Idempotence de la passerelle : une même avance ne peut jamais produire deux demandes de paiement.</w:t>
            </w:r>
          </w:p>
        </w:tc>
        <w:tc>
          <w:tcPr>
            <w:tcW w:type="dxa" w:w="15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tcMar>
              <w:top w:type="dxa" w:w="80"/>
              <w:left w:type="dxa" w:w="110"/>
              <w:bottom w:type="dxa" w:w="80"/>
              <w:right w:type="dxa" w:w="110"/>
            </w:tcMar>
          </w:tcPr>
          <w:p>
            <w:pPr>
              <w:spacing w:after="0" w:line="260"/>
            </w:pPr>
            <w:r>
              <w:rPr>
                <w:rFonts w:ascii="Calibri" w:cs="Calibri" w:eastAsia="Calibri" w:hAnsi="Calibri"/>
                <w:sz w:val="19"/>
                <w:szCs w:val="19"/>
              </w:rPr>
              <w:t xml:space="preserve">EF-72</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Absence de double comptage budgétaire : le montant d’une avance devenue demande de paiement n’est compté qu’une seule fois dans l’engagé du programme.</w:t>
            </w:r>
          </w:p>
        </w:tc>
        <w:tc>
          <w:tcPr>
            <w:tcW w:type="dxa" w:w="1500"/>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EF-73</w:t>
            </w:r>
          </w:p>
        </w:tc>
        <w:tc>
          <w:tcPr>
            <w:tcW w:type="dxa" w:w="6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Réquisition validée → bon de commande → engagement budgétaire, en une seule transaction.</w:t>
            </w:r>
          </w:p>
        </w:tc>
        <w:tc>
          <w:tcPr>
            <w:tcW w:type="dxa" w:w="15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tcMar>
              <w:top w:type="dxa" w:w="80"/>
              <w:left w:type="dxa" w:w="110"/>
              <w:bottom w:type="dxa" w:w="80"/>
              <w:right w:type="dxa" w:w="110"/>
            </w:tcMar>
          </w:tcPr>
          <w:p>
            <w:pPr>
              <w:spacing w:after="0" w:line="260"/>
            </w:pPr>
            <w:r>
              <w:rPr>
                <w:rFonts w:ascii="Calibri" w:cs="Calibri" w:eastAsia="Calibri" w:hAnsi="Calibri"/>
                <w:sz w:val="19"/>
                <w:szCs w:val="19"/>
              </w:rPr>
              <w:t xml:space="preserve">EF-74</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Disponibilité budgétaire calculée par le serveur et identique dans toutes les plateformes.</w:t>
            </w:r>
          </w:p>
        </w:tc>
        <w:tc>
          <w:tcPr>
            <w:tcW w:type="dxa" w:w="1500"/>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bl>
    <w:p>
      <w:pPr>
        <w:pStyle w:val="Heading1"/>
        <w:spacing w:after="160" w:before="320"/>
      </w:pPr>
      <w:r>
        <w:t xml:space="preserve">5. Exigences techniques</w:t>
      </w:r>
    </w:p>
    <w:p>
      <w:pPr>
        <w:pStyle w:val="Heading2"/>
        <w:spacing w:after="120" w:before="240"/>
      </w:pPr>
      <w:r>
        <w:t xml:space="preserve">5.1 Architecture cible</w:t>
      </w:r>
    </w:p>
    <w:p>
      <w:pPr>
        <w:spacing w:after="120" w:line="276"/>
      </w:pPr>
      <w:r>
        <w:rPr>
          <w:rFonts w:ascii="Calibri" w:cs="Calibri" w:eastAsia="Calibri" w:hAnsi="Calibri"/>
          <w:sz w:val="21"/>
          <w:szCs w:val="21"/>
        </w:rPr>
        <w:t xml:space="preserve">La solution s’appuie sur un écosystème géré, sans serveur applicatif à administrer pour la partie données et logique métier.</w:t>
      </w:r>
    </w:p>
    <w:tbl>
      <w:tblPr>
        <w:tblW w:type="dxa" w:w="9000"/>
        <w:tblBorders>
          <w:top w:val="single" w:color="D9D2CA" w:sz="4"/>
          <w:left w:val="single" w:color="D9D2CA" w:sz="4"/>
          <w:bottom w:val="single" w:color="D9D2CA" w:sz="4"/>
          <w:right w:val="single" w:color="D9D2CA" w:sz="4"/>
          <w:insideH w:val="single" w:color="D9D2CA" w:sz="4"/>
          <w:insideV w:val="single" w:color="D9D2CA" w:sz="4"/>
        </w:tblBorders>
      </w:tblPr>
      <w:tblGrid>
        <w:gridCol w:w="2000"/>
        <w:gridCol w:w="2600"/>
        <w:gridCol w:w="4400"/>
      </w:tblGrid>
      <w:tr>
        <w:trPr>
          <w:tblHeader/>
        </w:trPr>
        <w:tc>
          <w:tcPr>
            <w:tcW w:type="dxa" w:w="20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Composant</w:t>
            </w:r>
          </w:p>
        </w:tc>
        <w:tc>
          <w:tcPr>
            <w:tcW w:type="dxa" w:w="26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Service</w:t>
            </w:r>
          </w:p>
        </w:tc>
        <w:tc>
          <w:tcPr>
            <w:tcW w:type="dxa" w:w="44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Rôle</w:t>
            </w:r>
          </w:p>
        </w:tc>
      </w:tr>
      <w:tr>
        <w:tc>
          <w:tcPr>
            <w:tcW w:type="dxa" w:w="2000"/>
            <w:tcMar>
              <w:top w:type="dxa" w:w="80"/>
              <w:left w:type="dxa" w:w="110"/>
              <w:bottom w:type="dxa" w:w="80"/>
              <w:right w:type="dxa" w:w="110"/>
            </w:tcMar>
          </w:tcPr>
          <w:p>
            <w:pPr>
              <w:spacing w:after="0" w:line="260"/>
            </w:pPr>
            <w:r>
              <w:rPr>
                <w:rFonts w:ascii="Calibri" w:cs="Calibri" w:eastAsia="Calibri" w:hAnsi="Calibri"/>
                <w:sz w:val="19"/>
                <w:szCs w:val="19"/>
              </w:rPr>
              <w:t xml:space="preserve">Interface</w:t>
            </w:r>
          </w:p>
        </w:tc>
        <w:tc>
          <w:tcPr>
            <w:tcW w:type="dxa" w:w="2600"/>
            <w:tcMar>
              <w:top w:type="dxa" w:w="80"/>
              <w:left w:type="dxa" w:w="110"/>
              <w:bottom w:type="dxa" w:w="80"/>
              <w:right w:type="dxa" w:w="110"/>
            </w:tcMar>
          </w:tcPr>
          <w:p>
            <w:pPr>
              <w:spacing w:after="0" w:line="260"/>
            </w:pPr>
            <w:r>
              <w:rPr>
                <w:rFonts w:ascii="Calibri" w:cs="Calibri" w:eastAsia="Calibri" w:hAnsi="Calibri"/>
                <w:sz w:val="19"/>
                <w:szCs w:val="19"/>
              </w:rPr>
              <w:t xml:space="preserve">Application web (PWA)</w:t>
            </w:r>
          </w:p>
        </w:tc>
        <w:tc>
          <w:tcPr>
            <w:tcW w:type="dxa" w:w="4400"/>
            <w:tcMar>
              <w:top w:type="dxa" w:w="80"/>
              <w:left w:type="dxa" w:w="110"/>
              <w:bottom w:type="dxa" w:w="80"/>
              <w:right w:type="dxa" w:w="110"/>
            </w:tcMar>
          </w:tcPr>
          <w:p>
            <w:pPr>
              <w:spacing w:after="0" w:line="260"/>
            </w:pPr>
            <w:r>
              <w:rPr>
                <w:rFonts w:ascii="Calibri" w:cs="Calibri" w:eastAsia="Calibri" w:hAnsi="Calibri"/>
                <w:sz w:val="19"/>
                <w:szCs w:val="19"/>
              </w:rPr>
              <w:t xml:space="preserve">Portail et six plateformes, servies en HTTPS.</w:t>
            </w:r>
          </w:p>
        </w:tc>
      </w:tr>
      <w:tr>
        <w:tc>
          <w:tcPr>
            <w:tcW w:type="dxa" w:w="20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Base de données</w:t>
            </w:r>
          </w:p>
        </w:tc>
        <w:tc>
          <w:tcPr>
            <w:tcW w:type="dxa" w:w="26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Cloud Firestore</w:t>
            </w:r>
          </w:p>
        </w:tc>
        <w:tc>
          <w:tcPr>
            <w:tcW w:type="dxa" w:w="4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Source unique de vérité, temps réel, hors-ligne natif.</w:t>
            </w:r>
          </w:p>
        </w:tc>
      </w:tr>
      <w:tr>
        <w:tc>
          <w:tcPr>
            <w:tcW w:type="dxa" w:w="2000"/>
            <w:tcMar>
              <w:top w:type="dxa" w:w="80"/>
              <w:left w:type="dxa" w:w="110"/>
              <w:bottom w:type="dxa" w:w="80"/>
              <w:right w:type="dxa" w:w="110"/>
            </w:tcMar>
          </w:tcPr>
          <w:p>
            <w:pPr>
              <w:spacing w:after="0" w:line="260"/>
            </w:pPr>
            <w:r>
              <w:rPr>
                <w:rFonts w:ascii="Calibri" w:cs="Calibri" w:eastAsia="Calibri" w:hAnsi="Calibri"/>
                <w:sz w:val="19"/>
                <w:szCs w:val="19"/>
              </w:rPr>
              <w:t xml:space="preserve">Logique serveur</w:t>
            </w:r>
          </w:p>
        </w:tc>
        <w:tc>
          <w:tcPr>
            <w:tcW w:type="dxa" w:w="2600"/>
            <w:tcMar>
              <w:top w:type="dxa" w:w="80"/>
              <w:left w:type="dxa" w:w="110"/>
              <w:bottom w:type="dxa" w:w="80"/>
              <w:right w:type="dxa" w:w="110"/>
            </w:tcMar>
          </w:tcPr>
          <w:p>
            <w:pPr>
              <w:spacing w:after="0" w:line="260"/>
            </w:pPr>
            <w:r>
              <w:rPr>
                <w:rFonts w:ascii="Calibri" w:cs="Calibri" w:eastAsia="Calibri" w:hAnsi="Calibri"/>
                <w:sz w:val="19"/>
                <w:szCs w:val="19"/>
              </w:rPr>
              <w:t xml:space="preserve">Cloud Functions</w:t>
            </w:r>
          </w:p>
        </w:tc>
        <w:tc>
          <w:tcPr>
            <w:tcW w:type="dxa" w:w="4400"/>
            <w:tcMar>
              <w:top w:type="dxa" w:w="80"/>
              <w:left w:type="dxa" w:w="110"/>
              <w:bottom w:type="dxa" w:w="80"/>
              <w:right w:type="dxa" w:w="110"/>
            </w:tcMar>
          </w:tcPr>
          <w:p>
            <w:pPr>
              <w:spacing w:after="0" w:line="260"/>
            </w:pPr>
            <w:r>
              <w:rPr>
                <w:rFonts w:ascii="Calibri" w:cs="Calibri" w:eastAsia="Calibri" w:hAnsi="Calibri"/>
                <w:sz w:val="19"/>
                <w:szCs w:val="19"/>
              </w:rPr>
              <w:t xml:space="preserve">Transactions sensibles, envois, secrets, traitements planifiés.</w:t>
            </w:r>
          </w:p>
        </w:tc>
      </w:tr>
      <w:tr>
        <w:tc>
          <w:tcPr>
            <w:tcW w:type="dxa" w:w="20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Identité</w:t>
            </w:r>
          </w:p>
        </w:tc>
        <w:tc>
          <w:tcPr>
            <w:tcW w:type="dxa" w:w="26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Firebase Authentication</w:t>
            </w:r>
          </w:p>
        </w:tc>
        <w:tc>
          <w:tcPr>
            <w:tcW w:type="dxa" w:w="4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Connexion et rôles portés par le jeton.</w:t>
            </w:r>
          </w:p>
        </w:tc>
      </w:tr>
      <w:tr>
        <w:tc>
          <w:tcPr>
            <w:tcW w:type="dxa" w:w="2000"/>
            <w:tcMar>
              <w:top w:type="dxa" w:w="80"/>
              <w:left w:type="dxa" w:w="110"/>
              <w:bottom w:type="dxa" w:w="80"/>
              <w:right w:type="dxa" w:w="110"/>
            </w:tcMar>
          </w:tcPr>
          <w:p>
            <w:pPr>
              <w:spacing w:after="0" w:line="260"/>
            </w:pPr>
            <w:r>
              <w:rPr>
                <w:rFonts w:ascii="Calibri" w:cs="Calibri" w:eastAsia="Calibri" w:hAnsi="Calibri"/>
                <w:sz w:val="19"/>
                <w:szCs w:val="19"/>
              </w:rPr>
              <w:t xml:space="preserve">Documents</w:t>
            </w:r>
          </w:p>
        </w:tc>
        <w:tc>
          <w:tcPr>
            <w:tcW w:type="dxa" w:w="2600"/>
            <w:tcMar>
              <w:top w:type="dxa" w:w="80"/>
              <w:left w:type="dxa" w:w="110"/>
              <w:bottom w:type="dxa" w:w="80"/>
              <w:right w:type="dxa" w:w="110"/>
            </w:tcMar>
          </w:tcPr>
          <w:p>
            <w:pPr>
              <w:spacing w:after="0" w:line="260"/>
            </w:pPr>
            <w:r>
              <w:rPr>
                <w:rFonts w:ascii="Calibri" w:cs="Calibri" w:eastAsia="Calibri" w:hAnsi="Calibri"/>
                <w:sz w:val="19"/>
                <w:szCs w:val="19"/>
              </w:rPr>
              <w:t xml:space="preserve">Espace Drive partagé</w:t>
            </w:r>
          </w:p>
        </w:tc>
        <w:tc>
          <w:tcPr>
            <w:tcW w:type="dxa" w:w="4400"/>
            <w:tcMar>
              <w:top w:type="dxa" w:w="80"/>
              <w:left w:type="dxa" w:w="110"/>
              <w:bottom w:type="dxa" w:w="80"/>
              <w:right w:type="dxa" w:w="110"/>
            </w:tcMar>
          </w:tcPr>
          <w:p>
            <w:pPr>
              <w:spacing w:after="0" w:line="260"/>
            </w:pPr>
            <w:r>
              <w:rPr>
                <w:rFonts w:ascii="Calibri" w:cs="Calibri" w:eastAsia="Calibri" w:hAnsi="Calibri"/>
                <w:sz w:val="19"/>
                <w:szCs w:val="19"/>
              </w:rPr>
              <w:t xml:space="preserve">Justificatifs, livrables, documents générés.</w:t>
            </w:r>
          </w:p>
        </w:tc>
      </w:tr>
      <w:tr>
        <w:tc>
          <w:tcPr>
            <w:tcW w:type="dxa" w:w="20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Messagerie / agenda</w:t>
            </w:r>
          </w:p>
        </w:tc>
        <w:tc>
          <w:tcPr>
            <w:tcW w:type="dxa" w:w="26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API Gmail et Calendar</w:t>
            </w:r>
          </w:p>
        </w:tc>
        <w:tc>
          <w:tcPr>
            <w:tcW w:type="dxa" w:w="4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Aperçus, relances et rappels d’échéance.</w:t>
            </w:r>
          </w:p>
        </w:tc>
      </w:tr>
    </w:tbl>
    <w:p>
      <w:pPr>
        <w:pStyle w:val="Heading2"/>
        <w:spacing w:after="120" w:before="240"/>
      </w:pPr>
      <w:r>
        <w:t xml:space="preserve">5.2 Exigences sur le front</w:t>
      </w:r>
    </w:p>
    <w:tbl>
      <w:tblPr>
        <w:tblW w:type="dxa" w:w="9000"/>
        <w:tblBorders>
          <w:top w:val="single" w:color="D9D2CA" w:sz="4"/>
          <w:left w:val="single" w:color="D9D2CA" w:sz="4"/>
          <w:bottom w:val="single" w:color="D9D2CA" w:sz="4"/>
          <w:right w:val="single" w:color="D9D2CA" w:sz="4"/>
          <w:insideH w:val="single" w:color="D9D2CA" w:sz="4"/>
          <w:insideV w:val="single" w:color="D9D2CA" w:sz="4"/>
        </w:tblBorders>
      </w:tblPr>
      <w:tblGrid>
        <w:gridCol w:w="1100"/>
        <w:gridCol w:w="6400"/>
        <w:gridCol w:w="1500"/>
      </w:tblGrid>
      <w:tr>
        <w:trPr>
          <w:tblHeader/>
        </w:trPr>
        <w:tc>
          <w:tcPr>
            <w:tcW w:type="dxa" w:w="11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Réf.</w:t>
            </w:r>
          </w:p>
        </w:tc>
        <w:tc>
          <w:tcPr>
            <w:tcW w:type="dxa" w:w="64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Exigence</w:t>
            </w:r>
          </w:p>
        </w:tc>
        <w:tc>
          <w:tcPr>
            <w:tcW w:type="dxa" w:w="15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Priorité</w:t>
            </w:r>
          </w:p>
        </w:tc>
      </w:tr>
      <w:tr>
        <w:tc>
          <w:tcPr>
            <w:tcW w:type="dxa" w:w="1100"/>
            <w:tcMar>
              <w:top w:type="dxa" w:w="80"/>
              <w:left w:type="dxa" w:w="110"/>
              <w:bottom w:type="dxa" w:w="80"/>
              <w:right w:type="dxa" w:w="110"/>
            </w:tcMar>
          </w:tcPr>
          <w:p>
            <w:pPr>
              <w:spacing w:after="0" w:line="260"/>
            </w:pPr>
            <w:r>
              <w:rPr>
                <w:rFonts w:ascii="Calibri" w:cs="Calibri" w:eastAsia="Calibri" w:hAnsi="Calibri"/>
                <w:sz w:val="19"/>
                <w:szCs w:val="19"/>
              </w:rPr>
              <w:t xml:space="preserve">ET-01</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Application web progressive (PWA) : manifeste, service worker, utilisable sur poste et mobile.</w:t>
            </w:r>
          </w:p>
        </w:tc>
        <w:tc>
          <w:tcPr>
            <w:tcW w:type="dxa" w:w="1500"/>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ET-02</w:t>
            </w:r>
          </w:p>
        </w:tc>
        <w:tc>
          <w:tcPr>
            <w:tcW w:type="dxa" w:w="6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Code front modulaire et maintenable : séparation configuration / authentification / droits / données / interface.</w:t>
            </w:r>
          </w:p>
        </w:tc>
        <w:tc>
          <w:tcPr>
            <w:tcW w:type="dxa" w:w="15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tcMar>
              <w:top w:type="dxa" w:w="80"/>
              <w:left w:type="dxa" w:w="110"/>
              <w:bottom w:type="dxa" w:w="80"/>
              <w:right w:type="dxa" w:w="110"/>
            </w:tcMar>
          </w:tcPr>
          <w:p>
            <w:pPr>
              <w:spacing w:after="0" w:line="260"/>
            </w:pPr>
            <w:r>
              <w:rPr>
                <w:rFonts w:ascii="Calibri" w:cs="Calibri" w:eastAsia="Calibri" w:hAnsi="Calibri"/>
                <w:sz w:val="19"/>
                <w:szCs w:val="19"/>
              </w:rPr>
              <w:t xml:space="preserve">ET-03</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Interface conforme à la maquette de référence (charte, libellés, comportements).</w:t>
            </w:r>
          </w:p>
        </w:tc>
        <w:tc>
          <w:tcPr>
            <w:tcW w:type="dxa" w:w="1500"/>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ET-04</w:t>
            </w:r>
          </w:p>
        </w:tc>
        <w:tc>
          <w:tcPr>
            <w:tcW w:type="dxa" w:w="6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Compatibilité navigateurs : deux dernières versions majeures de Chrome, Edge, Firefox et Safari.</w:t>
            </w:r>
          </w:p>
        </w:tc>
        <w:tc>
          <w:tcPr>
            <w:tcW w:type="dxa" w:w="15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tcMar>
              <w:top w:type="dxa" w:w="80"/>
              <w:left w:type="dxa" w:w="110"/>
              <w:bottom w:type="dxa" w:w="80"/>
              <w:right w:type="dxa" w:w="110"/>
            </w:tcMar>
          </w:tcPr>
          <w:p>
            <w:pPr>
              <w:spacing w:after="0" w:line="260"/>
            </w:pPr>
            <w:r>
              <w:rPr>
                <w:rFonts w:ascii="Calibri" w:cs="Calibri" w:eastAsia="Calibri" w:hAnsi="Calibri"/>
                <w:sz w:val="19"/>
                <w:szCs w:val="19"/>
              </w:rPr>
              <w:t xml:space="preserve">ET-05</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Mise à jour du code sans code périmé côté client (stratégie de cache réseau d’abord ou versionnement).</w:t>
            </w:r>
          </w:p>
        </w:tc>
        <w:tc>
          <w:tcPr>
            <w:tcW w:type="dxa" w:w="1500"/>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ET-06</w:t>
            </w:r>
          </w:p>
        </w:tc>
        <w:tc>
          <w:tcPr>
            <w:tcW w:type="dxa" w:w="6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Interface en français, y compris messages d’erreur.</w:t>
            </w:r>
          </w:p>
        </w:tc>
        <w:tc>
          <w:tcPr>
            <w:tcW w:type="dxa" w:w="15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tcMar>
              <w:top w:type="dxa" w:w="80"/>
              <w:left w:type="dxa" w:w="110"/>
              <w:bottom w:type="dxa" w:w="80"/>
              <w:right w:type="dxa" w:w="110"/>
            </w:tcMar>
          </w:tcPr>
          <w:p>
            <w:pPr>
              <w:spacing w:after="0" w:line="260"/>
            </w:pPr>
            <w:r>
              <w:rPr>
                <w:rFonts w:ascii="Calibri" w:cs="Calibri" w:eastAsia="Calibri" w:hAnsi="Calibri"/>
                <w:sz w:val="19"/>
                <w:szCs w:val="19"/>
              </w:rPr>
              <w:t xml:space="preserve">ET-07</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Affichage adapté aux écrans à partir de 1280 px ; dégradation acceptable en deçà.</w:t>
            </w:r>
          </w:p>
        </w:tc>
        <w:tc>
          <w:tcPr>
            <w:tcW w:type="dxa" w:w="1500"/>
            <w:tcMar>
              <w:top w:type="dxa" w:w="80"/>
              <w:left w:type="dxa" w:w="110"/>
              <w:bottom w:type="dxa" w:w="80"/>
              <w:right w:type="dxa" w:w="110"/>
            </w:tcMar>
          </w:tcPr>
          <w:p>
            <w:pPr>
              <w:spacing w:after="0" w:line="260"/>
            </w:pPr>
            <w:r>
              <w:rPr>
                <w:rFonts w:ascii="Calibri" w:cs="Calibri" w:eastAsia="Calibri" w:hAnsi="Calibri"/>
                <w:sz w:val="19"/>
                <w:szCs w:val="19"/>
              </w:rPr>
              <w:t xml:space="preserve">Important</w:t>
            </w:r>
          </w:p>
        </w:tc>
      </w:tr>
    </w:tbl>
    <w:p>
      <w:pPr>
        <w:pStyle w:val="Heading2"/>
        <w:spacing w:after="120" w:before="240"/>
      </w:pPr>
      <w:r>
        <w:t xml:space="preserve">5.3 Exigences sur le back</w:t>
      </w:r>
    </w:p>
    <w:tbl>
      <w:tblPr>
        <w:tblW w:type="dxa" w:w="9000"/>
        <w:tblBorders>
          <w:top w:val="single" w:color="D9D2CA" w:sz="4"/>
          <w:left w:val="single" w:color="D9D2CA" w:sz="4"/>
          <w:bottom w:val="single" w:color="D9D2CA" w:sz="4"/>
          <w:right w:val="single" w:color="D9D2CA" w:sz="4"/>
          <w:insideH w:val="single" w:color="D9D2CA" w:sz="4"/>
          <w:insideV w:val="single" w:color="D9D2CA" w:sz="4"/>
        </w:tblBorders>
      </w:tblPr>
      <w:tblGrid>
        <w:gridCol w:w="1100"/>
        <w:gridCol w:w="6400"/>
        <w:gridCol w:w="1500"/>
      </w:tblGrid>
      <w:tr>
        <w:trPr>
          <w:tblHeader/>
        </w:trPr>
        <w:tc>
          <w:tcPr>
            <w:tcW w:type="dxa" w:w="11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Réf.</w:t>
            </w:r>
          </w:p>
        </w:tc>
        <w:tc>
          <w:tcPr>
            <w:tcW w:type="dxa" w:w="64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Exigence</w:t>
            </w:r>
          </w:p>
        </w:tc>
        <w:tc>
          <w:tcPr>
            <w:tcW w:type="dxa" w:w="15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Priorité</w:t>
            </w:r>
          </w:p>
        </w:tc>
      </w:tr>
      <w:tr>
        <w:tc>
          <w:tcPr>
            <w:tcW w:type="dxa" w:w="1100"/>
            <w:tcMar>
              <w:top w:type="dxa" w:w="80"/>
              <w:left w:type="dxa" w:w="110"/>
              <w:bottom w:type="dxa" w:w="80"/>
              <w:right w:type="dxa" w:w="110"/>
            </w:tcMar>
          </w:tcPr>
          <w:p>
            <w:pPr>
              <w:spacing w:after="0" w:line="260"/>
            </w:pPr>
            <w:r>
              <w:rPr>
                <w:rFonts w:ascii="Calibri" w:cs="Calibri" w:eastAsia="Calibri" w:hAnsi="Calibri"/>
                <w:sz w:val="19"/>
                <w:szCs w:val="19"/>
              </w:rPr>
              <w:t xml:space="preserve">ET-10</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Toute opération sensible (validation par seuil, décaissement, passerelle, agrégation budgétaire) est exécutée côté serveur.</w:t>
            </w:r>
          </w:p>
        </w:tc>
        <w:tc>
          <w:tcPr>
            <w:tcW w:type="dxa" w:w="1500"/>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ET-11</w:t>
            </w:r>
          </w:p>
        </w:tc>
        <w:tc>
          <w:tcPr>
            <w:tcW w:type="dxa" w:w="6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Les opérations touchant plusieurs documents sont transactionnelles et atomiques.</w:t>
            </w:r>
          </w:p>
        </w:tc>
        <w:tc>
          <w:tcPr>
            <w:tcW w:type="dxa" w:w="15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tcMar>
              <w:top w:type="dxa" w:w="80"/>
              <w:left w:type="dxa" w:w="110"/>
              <w:bottom w:type="dxa" w:w="80"/>
              <w:right w:type="dxa" w:w="110"/>
            </w:tcMar>
          </w:tcPr>
          <w:p>
            <w:pPr>
              <w:spacing w:after="0" w:line="260"/>
            </w:pPr>
            <w:r>
              <w:rPr>
                <w:rFonts w:ascii="Calibri" w:cs="Calibri" w:eastAsia="Calibri" w:hAnsi="Calibri"/>
                <w:sz w:val="19"/>
                <w:szCs w:val="19"/>
              </w:rPr>
              <w:t xml:space="preserve">ET-12</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Les secrets et identifiants à privilèges ne sont jamais exposés au navigateur.</w:t>
            </w:r>
          </w:p>
        </w:tc>
        <w:tc>
          <w:tcPr>
            <w:tcW w:type="dxa" w:w="1500"/>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ET-13</w:t>
            </w:r>
          </w:p>
        </w:tc>
        <w:tc>
          <w:tcPr>
            <w:tcW w:type="dxa" w:w="6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Index de base de données définis pour les requêtes de listes et de filtres.</w:t>
            </w:r>
          </w:p>
        </w:tc>
        <w:tc>
          <w:tcPr>
            <w:tcW w:type="dxa" w:w="15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Important</w:t>
            </w:r>
          </w:p>
        </w:tc>
      </w:tr>
      <w:tr>
        <w:tc>
          <w:tcPr>
            <w:tcW w:type="dxa" w:w="1100"/>
            <w:tcMar>
              <w:top w:type="dxa" w:w="80"/>
              <w:left w:type="dxa" w:w="110"/>
              <w:bottom w:type="dxa" w:w="80"/>
              <w:right w:type="dxa" w:w="110"/>
            </w:tcMar>
          </w:tcPr>
          <w:p>
            <w:pPr>
              <w:spacing w:after="0" w:line="260"/>
            </w:pPr>
            <w:r>
              <w:rPr>
                <w:rFonts w:ascii="Calibri" w:cs="Calibri" w:eastAsia="Calibri" w:hAnsi="Calibri"/>
                <w:sz w:val="19"/>
                <w:szCs w:val="19"/>
              </w:rPr>
              <w:t xml:space="preserve">ET-14</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Traitements planifiés pour les relances et rappels d’échéance.</w:t>
            </w:r>
          </w:p>
        </w:tc>
        <w:tc>
          <w:tcPr>
            <w:tcW w:type="dxa" w:w="1500"/>
            <w:tcMar>
              <w:top w:type="dxa" w:w="80"/>
              <w:left w:type="dxa" w:w="110"/>
              <w:bottom w:type="dxa" w:w="80"/>
              <w:right w:type="dxa" w:w="110"/>
            </w:tcMar>
          </w:tcPr>
          <w:p>
            <w:pPr>
              <w:spacing w:after="0" w:line="260"/>
            </w:pPr>
            <w:r>
              <w:rPr>
                <w:rFonts w:ascii="Calibri" w:cs="Calibri" w:eastAsia="Calibri" w:hAnsi="Calibri"/>
                <w:sz w:val="19"/>
                <w:szCs w:val="19"/>
              </w:rPr>
              <w:t xml:space="preserve">Important</w:t>
            </w:r>
          </w:p>
        </w:tc>
      </w:tr>
    </w:tbl>
    <w:p>
      <w:pPr>
        <w:pStyle w:val="Heading2"/>
        <w:spacing w:after="120" w:before="240"/>
      </w:pPr>
      <w:r>
        <w:t xml:space="preserve">5.4 Performance et disponibilité</w:t>
      </w:r>
    </w:p>
    <w:tbl>
      <w:tblPr>
        <w:tblW w:type="dxa" w:w="9000"/>
        <w:tblBorders>
          <w:top w:val="single" w:color="D9D2CA" w:sz="4"/>
          <w:left w:val="single" w:color="D9D2CA" w:sz="4"/>
          <w:bottom w:val="single" w:color="D9D2CA" w:sz="4"/>
          <w:right w:val="single" w:color="D9D2CA" w:sz="4"/>
          <w:insideH w:val="single" w:color="D9D2CA" w:sz="4"/>
          <w:insideV w:val="single" w:color="D9D2CA" w:sz="4"/>
        </w:tblBorders>
      </w:tblPr>
      <w:tblGrid>
        <w:gridCol w:w="1100"/>
        <w:gridCol w:w="6400"/>
        <w:gridCol w:w="1500"/>
      </w:tblGrid>
      <w:tr>
        <w:trPr>
          <w:tblHeader/>
        </w:trPr>
        <w:tc>
          <w:tcPr>
            <w:tcW w:type="dxa" w:w="11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Réf.</w:t>
            </w:r>
          </w:p>
        </w:tc>
        <w:tc>
          <w:tcPr>
            <w:tcW w:type="dxa" w:w="64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Exigence</w:t>
            </w:r>
          </w:p>
        </w:tc>
        <w:tc>
          <w:tcPr>
            <w:tcW w:type="dxa" w:w="15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Priorité</w:t>
            </w:r>
          </w:p>
        </w:tc>
      </w:tr>
      <w:tr>
        <w:tc>
          <w:tcPr>
            <w:tcW w:type="dxa" w:w="1100"/>
            <w:tcMar>
              <w:top w:type="dxa" w:w="80"/>
              <w:left w:type="dxa" w:w="110"/>
              <w:bottom w:type="dxa" w:w="80"/>
              <w:right w:type="dxa" w:w="110"/>
            </w:tcMar>
          </w:tcPr>
          <w:p>
            <w:pPr>
              <w:spacing w:after="0" w:line="260"/>
            </w:pPr>
            <w:r>
              <w:rPr>
                <w:rFonts w:ascii="Calibri" w:cs="Calibri" w:eastAsia="Calibri" w:hAnsi="Calibri"/>
                <w:sz w:val="19"/>
                <w:szCs w:val="19"/>
              </w:rPr>
              <w:t xml:space="preserve">ET-20</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Affichage de l’accueil en moins de 3 secondes sur une connexion ordinaire.</w:t>
            </w:r>
          </w:p>
        </w:tc>
        <w:tc>
          <w:tcPr>
            <w:tcW w:type="dxa" w:w="1500"/>
            <w:tcMar>
              <w:top w:type="dxa" w:w="80"/>
              <w:left w:type="dxa" w:w="110"/>
              <w:bottom w:type="dxa" w:w="80"/>
              <w:right w:type="dxa" w:w="110"/>
            </w:tcMar>
          </w:tcPr>
          <w:p>
            <w:pPr>
              <w:spacing w:after="0" w:line="260"/>
            </w:pPr>
            <w:r>
              <w:rPr>
                <w:rFonts w:ascii="Calibri" w:cs="Calibri" w:eastAsia="Calibri" w:hAnsi="Calibri"/>
                <w:sz w:val="19"/>
                <w:szCs w:val="19"/>
              </w:rPr>
              <w:t xml:space="preserve">Important</w:t>
            </w:r>
          </w:p>
        </w:tc>
      </w:tr>
      <w:tr>
        <w:tc>
          <w:tcPr>
            <w:tcW w:type="dxa" w:w="11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ET-21</w:t>
            </w:r>
          </w:p>
        </w:tc>
        <w:tc>
          <w:tcPr>
            <w:tcW w:type="dxa" w:w="6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Consultation possible hors ligne des données déjà chargées ; synchronisation au retour du réseau.</w:t>
            </w:r>
          </w:p>
        </w:tc>
        <w:tc>
          <w:tcPr>
            <w:tcW w:type="dxa" w:w="15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Souhaitable</w:t>
            </w:r>
          </w:p>
        </w:tc>
      </w:tr>
      <w:tr>
        <w:tc>
          <w:tcPr>
            <w:tcW w:type="dxa" w:w="1100"/>
            <w:tcMar>
              <w:top w:type="dxa" w:w="80"/>
              <w:left w:type="dxa" w:w="110"/>
              <w:bottom w:type="dxa" w:w="80"/>
              <w:right w:type="dxa" w:w="110"/>
            </w:tcMar>
          </w:tcPr>
          <w:p>
            <w:pPr>
              <w:spacing w:after="0" w:line="260"/>
            </w:pPr>
            <w:r>
              <w:rPr>
                <w:rFonts w:ascii="Calibri" w:cs="Calibri" w:eastAsia="Calibri" w:hAnsi="Calibri"/>
                <w:sz w:val="19"/>
                <w:szCs w:val="19"/>
              </w:rPr>
              <w:t xml:space="preserve">ET-22</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Disponibilité visée du service : 99 % sur les heures ouvrées.</w:t>
            </w:r>
          </w:p>
        </w:tc>
        <w:tc>
          <w:tcPr>
            <w:tcW w:type="dxa" w:w="1500"/>
            <w:tcMar>
              <w:top w:type="dxa" w:w="80"/>
              <w:left w:type="dxa" w:w="110"/>
              <w:bottom w:type="dxa" w:w="80"/>
              <w:right w:type="dxa" w:w="110"/>
            </w:tcMar>
          </w:tcPr>
          <w:p>
            <w:pPr>
              <w:spacing w:after="0" w:line="260"/>
            </w:pPr>
            <w:r>
              <w:rPr>
                <w:rFonts w:ascii="Calibri" w:cs="Calibri" w:eastAsia="Calibri" w:hAnsi="Calibri"/>
                <w:sz w:val="19"/>
                <w:szCs w:val="19"/>
              </w:rPr>
              <w:t xml:space="preserve">Important</w:t>
            </w:r>
          </w:p>
        </w:tc>
      </w:tr>
    </w:tbl>
    <w:p>
      <w:pPr>
        <w:pStyle w:val="Heading1"/>
        <w:spacing w:after="160" w:before="320"/>
      </w:pPr>
      <w:r>
        <w:t xml:space="preserve">6. Identités, rôles et droits d’accès</w:t>
      </w:r>
    </w:p>
    <w:p>
      <w:pPr>
        <w:pStyle w:val="Heading2"/>
        <w:spacing w:after="120" w:before="240"/>
      </w:pPr>
      <w:r>
        <w:t xml:space="preserve">6.1 Authentification</w:t>
      </w:r>
    </w:p>
    <w:tbl>
      <w:tblPr>
        <w:tblW w:type="dxa" w:w="9000"/>
        <w:tblBorders>
          <w:top w:val="single" w:color="D9D2CA" w:sz="4"/>
          <w:left w:val="single" w:color="D9D2CA" w:sz="4"/>
          <w:bottom w:val="single" w:color="D9D2CA" w:sz="4"/>
          <w:right w:val="single" w:color="D9D2CA" w:sz="4"/>
          <w:insideH w:val="single" w:color="D9D2CA" w:sz="4"/>
          <w:insideV w:val="single" w:color="D9D2CA" w:sz="4"/>
        </w:tblBorders>
      </w:tblPr>
      <w:tblGrid>
        <w:gridCol w:w="1100"/>
        <w:gridCol w:w="6400"/>
        <w:gridCol w:w="1500"/>
      </w:tblGrid>
      <w:tr>
        <w:trPr>
          <w:tblHeader/>
        </w:trPr>
        <w:tc>
          <w:tcPr>
            <w:tcW w:type="dxa" w:w="11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Réf.</w:t>
            </w:r>
          </w:p>
        </w:tc>
        <w:tc>
          <w:tcPr>
            <w:tcW w:type="dxa" w:w="64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Exigence</w:t>
            </w:r>
          </w:p>
        </w:tc>
        <w:tc>
          <w:tcPr>
            <w:tcW w:type="dxa" w:w="15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Priorité</w:t>
            </w:r>
          </w:p>
        </w:tc>
      </w:tr>
      <w:tr>
        <w:tc>
          <w:tcPr>
            <w:tcW w:type="dxa" w:w="1100"/>
            <w:tcMar>
              <w:top w:type="dxa" w:w="80"/>
              <w:left w:type="dxa" w:w="110"/>
              <w:bottom w:type="dxa" w:w="80"/>
              <w:right w:type="dxa" w:w="110"/>
            </w:tcMar>
          </w:tcPr>
          <w:p>
            <w:pPr>
              <w:spacing w:after="0" w:line="260"/>
            </w:pPr>
            <w:r>
              <w:rPr>
                <w:rFonts w:ascii="Calibri" w:cs="Calibri" w:eastAsia="Calibri" w:hAnsi="Calibri"/>
                <w:sz w:val="19"/>
                <w:szCs w:val="19"/>
              </w:rPr>
              <w:t xml:space="preserve">ES-01</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Connexion par identifiants nominatifs ; aucune inscription en libre-service.</w:t>
            </w:r>
          </w:p>
        </w:tc>
        <w:tc>
          <w:tcPr>
            <w:tcW w:type="dxa" w:w="1500"/>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ES-02</w:t>
            </w:r>
          </w:p>
        </w:tc>
        <w:tc>
          <w:tcPr>
            <w:tcW w:type="dxa" w:w="6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Comptes créés et gérés exclusivement par l’administrateur.</w:t>
            </w:r>
          </w:p>
        </w:tc>
        <w:tc>
          <w:tcPr>
            <w:tcW w:type="dxa" w:w="15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tcMar>
              <w:top w:type="dxa" w:w="80"/>
              <w:left w:type="dxa" w:w="110"/>
              <w:bottom w:type="dxa" w:w="80"/>
              <w:right w:type="dxa" w:w="110"/>
            </w:tcMar>
          </w:tcPr>
          <w:p>
            <w:pPr>
              <w:spacing w:after="0" w:line="260"/>
            </w:pPr>
            <w:r>
              <w:rPr>
                <w:rFonts w:ascii="Calibri" w:cs="Calibri" w:eastAsia="Calibri" w:hAnsi="Calibri"/>
                <w:sz w:val="19"/>
                <w:szCs w:val="19"/>
              </w:rPr>
              <w:t xml:space="preserve">ES-03</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Un compte super-administrateur est défini à l’installation et dispose du rôle « administrateur ».</w:t>
            </w:r>
          </w:p>
        </w:tc>
        <w:tc>
          <w:tcPr>
            <w:tcW w:type="dxa" w:w="1500"/>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ES-04</w:t>
            </w:r>
          </w:p>
        </w:tc>
        <w:tc>
          <w:tcPr>
            <w:tcW w:type="dxa" w:w="6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Le service doit être accessible en HTTPS avec un certificat valide.</w:t>
            </w:r>
          </w:p>
        </w:tc>
        <w:tc>
          <w:tcPr>
            <w:tcW w:type="dxa" w:w="15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tcMar>
              <w:top w:type="dxa" w:w="80"/>
              <w:left w:type="dxa" w:w="110"/>
              <w:bottom w:type="dxa" w:w="80"/>
              <w:right w:type="dxa" w:w="110"/>
            </w:tcMar>
          </w:tcPr>
          <w:p>
            <w:pPr>
              <w:spacing w:after="0" w:line="260"/>
            </w:pPr>
            <w:r>
              <w:rPr>
                <w:rFonts w:ascii="Calibri" w:cs="Calibri" w:eastAsia="Calibri" w:hAnsi="Calibri"/>
                <w:sz w:val="19"/>
                <w:szCs w:val="19"/>
              </w:rPr>
              <w:t xml:space="preserve">ES-05</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Option d’authentification par compte Google professionnel, activable lorsqu’un nom de domaine est en place.</w:t>
            </w:r>
          </w:p>
        </w:tc>
        <w:tc>
          <w:tcPr>
            <w:tcW w:type="dxa" w:w="1500"/>
            <w:tcMar>
              <w:top w:type="dxa" w:w="80"/>
              <w:left w:type="dxa" w:w="110"/>
              <w:bottom w:type="dxa" w:w="80"/>
              <w:right w:type="dxa" w:w="110"/>
            </w:tcMar>
          </w:tcPr>
          <w:p>
            <w:pPr>
              <w:spacing w:after="0" w:line="260"/>
            </w:pPr>
            <w:r>
              <w:rPr>
                <w:rFonts w:ascii="Calibri" w:cs="Calibri" w:eastAsia="Calibri" w:hAnsi="Calibri"/>
                <w:sz w:val="19"/>
                <w:szCs w:val="19"/>
              </w:rPr>
              <w:t xml:space="preserve">Important</w:t>
            </w:r>
          </w:p>
        </w:tc>
      </w:tr>
    </w:tbl>
    <w:p>
      <w:pPr>
        <w:pStyle w:val="Heading2"/>
        <w:spacing w:after="120" w:before="240"/>
      </w:pPr>
      <w:r>
        <w:t xml:space="preserve">6.2 Matrice d’accès aux plateformes</w:t>
      </w:r>
    </w:p>
    <w:tbl>
      <w:tblPr>
        <w:tblW w:type="dxa" w:w="9000"/>
        <w:tblBorders>
          <w:top w:val="single" w:color="D9D2CA" w:sz="4"/>
          <w:left w:val="single" w:color="D9D2CA" w:sz="4"/>
          <w:bottom w:val="single" w:color="D9D2CA" w:sz="4"/>
          <w:right w:val="single" w:color="D9D2CA" w:sz="4"/>
          <w:insideH w:val="single" w:color="D9D2CA" w:sz="4"/>
          <w:insideV w:val="single" w:color="D9D2CA" w:sz="4"/>
        </w:tblBorders>
      </w:tblPr>
      <w:tblGrid>
        <w:gridCol w:w="2600"/>
        <w:gridCol w:w="1080"/>
        <w:gridCol w:w="1600"/>
        <w:gridCol w:w="1600"/>
        <w:gridCol w:w="1200"/>
        <w:gridCol w:w="920"/>
      </w:tblGrid>
      <w:tr>
        <w:trPr>
          <w:tblHeader/>
        </w:trPr>
        <w:tc>
          <w:tcPr>
            <w:tcW w:type="dxa" w:w="26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Plateforme</w:t>
            </w:r>
          </w:p>
        </w:tc>
        <w:tc>
          <w:tcPr>
            <w:tcW w:type="dxa" w:w="108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Agent</w:t>
            </w:r>
          </w:p>
        </w:tc>
        <w:tc>
          <w:tcPr>
            <w:tcW w:type="dxa" w:w="16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Chef de projet</w:t>
            </w:r>
          </w:p>
        </w:tc>
        <w:tc>
          <w:tcPr>
            <w:tcW w:type="dxa" w:w="16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Dir. programme</w:t>
            </w:r>
          </w:p>
        </w:tc>
        <w:tc>
          <w:tcPr>
            <w:tcW w:type="dxa" w:w="12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Directrice</w:t>
            </w:r>
          </w:p>
        </w:tc>
        <w:tc>
          <w:tcPr>
            <w:tcW w:type="dxa" w:w="92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Admin</w:t>
            </w:r>
          </w:p>
        </w:tc>
      </w:tr>
      <w:tr>
        <w:tc>
          <w:tcPr>
            <w:tcW w:type="dxa" w:w="2600"/>
            <w:tcMar>
              <w:top w:type="dxa" w:w="80"/>
              <w:left w:type="dxa" w:w="110"/>
              <w:bottom w:type="dxa" w:w="80"/>
              <w:right w:type="dxa" w:w="110"/>
            </w:tcMar>
          </w:tcPr>
          <w:p>
            <w:pPr>
              <w:spacing w:after="0" w:line="260"/>
            </w:pPr>
            <w:r>
              <w:rPr>
                <w:rFonts w:ascii="Calibri" w:cs="Calibri" w:eastAsia="Calibri" w:hAnsi="Calibri"/>
                <w:sz w:val="19"/>
                <w:szCs w:val="19"/>
              </w:rPr>
              <w:t xml:space="preserve">Pilotage</w:t>
            </w:r>
          </w:p>
        </w:tc>
        <w:tc>
          <w:tcPr>
            <w:tcW w:type="dxa" w:w="1080"/>
            <w:tcMar>
              <w:top w:type="dxa" w:w="80"/>
              <w:left w:type="dxa" w:w="110"/>
              <w:bottom w:type="dxa" w:w="80"/>
              <w:right w:type="dxa" w:w="110"/>
            </w:tcMar>
          </w:tcPr>
          <w:p>
            <w:pPr>
              <w:spacing w:after="0" w:line="260"/>
            </w:pPr>
            <w:r>
              <w:rPr>
                <w:rFonts w:ascii="Calibri" w:cs="Calibri" w:eastAsia="Calibri" w:hAnsi="Calibri"/>
                <w:sz w:val="19"/>
                <w:szCs w:val="19"/>
              </w:rPr>
              <w:t xml:space="preserve">Oui</w:t>
            </w:r>
          </w:p>
        </w:tc>
        <w:tc>
          <w:tcPr>
            <w:tcW w:type="dxa" w:w="1600"/>
            <w:tcMar>
              <w:top w:type="dxa" w:w="80"/>
              <w:left w:type="dxa" w:w="110"/>
              <w:bottom w:type="dxa" w:w="80"/>
              <w:right w:type="dxa" w:w="110"/>
            </w:tcMar>
          </w:tcPr>
          <w:p>
            <w:pPr>
              <w:spacing w:after="0" w:line="260"/>
            </w:pPr>
            <w:r>
              <w:rPr>
                <w:rFonts w:ascii="Calibri" w:cs="Calibri" w:eastAsia="Calibri" w:hAnsi="Calibri"/>
                <w:sz w:val="19"/>
                <w:szCs w:val="19"/>
              </w:rPr>
              <w:t xml:space="preserve">Oui</w:t>
            </w:r>
          </w:p>
        </w:tc>
        <w:tc>
          <w:tcPr>
            <w:tcW w:type="dxa" w:w="1600"/>
            <w:tcMar>
              <w:top w:type="dxa" w:w="80"/>
              <w:left w:type="dxa" w:w="110"/>
              <w:bottom w:type="dxa" w:w="80"/>
              <w:right w:type="dxa" w:w="110"/>
            </w:tcMar>
          </w:tcPr>
          <w:p>
            <w:pPr>
              <w:spacing w:after="0" w:line="260"/>
            </w:pPr>
            <w:r>
              <w:rPr>
                <w:rFonts w:ascii="Calibri" w:cs="Calibri" w:eastAsia="Calibri" w:hAnsi="Calibri"/>
                <w:sz w:val="19"/>
                <w:szCs w:val="19"/>
              </w:rPr>
              <w:t xml:space="preserve">Oui</w:t>
            </w:r>
          </w:p>
        </w:tc>
        <w:tc>
          <w:tcPr>
            <w:tcW w:type="dxa" w:w="1200"/>
            <w:tcMar>
              <w:top w:type="dxa" w:w="80"/>
              <w:left w:type="dxa" w:w="110"/>
              <w:bottom w:type="dxa" w:w="80"/>
              <w:right w:type="dxa" w:w="110"/>
            </w:tcMar>
          </w:tcPr>
          <w:p>
            <w:pPr>
              <w:spacing w:after="0" w:line="260"/>
            </w:pPr>
            <w:r>
              <w:rPr>
                <w:rFonts w:ascii="Calibri" w:cs="Calibri" w:eastAsia="Calibri" w:hAnsi="Calibri"/>
                <w:sz w:val="19"/>
                <w:szCs w:val="19"/>
              </w:rPr>
              <w:t xml:space="preserve">Oui</w:t>
            </w:r>
          </w:p>
        </w:tc>
        <w:tc>
          <w:tcPr>
            <w:tcW w:type="dxa" w:w="920"/>
            <w:tcMar>
              <w:top w:type="dxa" w:w="80"/>
              <w:left w:type="dxa" w:w="110"/>
              <w:bottom w:type="dxa" w:w="80"/>
              <w:right w:type="dxa" w:w="110"/>
            </w:tcMar>
          </w:tcPr>
          <w:p>
            <w:pPr>
              <w:spacing w:after="0" w:line="260"/>
            </w:pPr>
            <w:r>
              <w:rPr>
                <w:rFonts w:ascii="Calibri" w:cs="Calibri" w:eastAsia="Calibri" w:hAnsi="Calibri"/>
                <w:sz w:val="19"/>
                <w:szCs w:val="19"/>
              </w:rPr>
              <w:t xml:space="preserve">Oui</w:t>
            </w:r>
          </w:p>
        </w:tc>
      </w:tr>
      <w:tr>
        <w:tc>
          <w:tcPr>
            <w:tcW w:type="dxa" w:w="26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Validation des TdR</w:t>
            </w:r>
          </w:p>
        </w:tc>
        <w:tc>
          <w:tcPr>
            <w:tcW w:type="dxa" w:w="108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Oui</w:t>
            </w:r>
          </w:p>
        </w:tc>
        <w:tc>
          <w:tcPr>
            <w:tcW w:type="dxa" w:w="16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Oui</w:t>
            </w:r>
          </w:p>
        </w:tc>
        <w:tc>
          <w:tcPr>
            <w:tcW w:type="dxa" w:w="16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Oui</w:t>
            </w:r>
          </w:p>
        </w:tc>
        <w:tc>
          <w:tcPr>
            <w:tcW w:type="dxa" w:w="12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Oui</w:t>
            </w:r>
          </w:p>
        </w:tc>
        <w:tc>
          <w:tcPr>
            <w:tcW w:type="dxa" w:w="92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Oui</w:t>
            </w:r>
          </w:p>
        </w:tc>
      </w:tr>
      <w:tr>
        <w:tc>
          <w:tcPr>
            <w:tcW w:type="dxa" w:w="2600"/>
            <w:tcMar>
              <w:top w:type="dxa" w:w="80"/>
              <w:left w:type="dxa" w:w="110"/>
              <w:bottom w:type="dxa" w:w="80"/>
              <w:right w:type="dxa" w:w="110"/>
            </w:tcMar>
          </w:tcPr>
          <w:p>
            <w:pPr>
              <w:spacing w:after="0" w:line="260"/>
            </w:pPr>
            <w:r>
              <w:rPr>
                <w:rFonts w:ascii="Calibri" w:cs="Calibri" w:eastAsia="Calibri" w:hAnsi="Calibri"/>
                <w:sz w:val="19"/>
                <w:szCs w:val="19"/>
              </w:rPr>
              <w:t xml:space="preserve">Achats</w:t>
            </w:r>
          </w:p>
        </w:tc>
        <w:tc>
          <w:tcPr>
            <w:tcW w:type="dxa" w:w="1080"/>
            <w:tcMar>
              <w:top w:type="dxa" w:w="80"/>
              <w:left w:type="dxa" w:w="110"/>
              <w:bottom w:type="dxa" w:w="80"/>
              <w:right w:type="dxa" w:w="110"/>
            </w:tcMar>
          </w:tcPr>
          <w:p>
            <w:pPr>
              <w:spacing w:after="0" w:line="260"/>
            </w:pPr>
            <w:r>
              <w:rPr>
                <w:rFonts w:ascii="Calibri" w:cs="Calibri" w:eastAsia="Calibri" w:hAnsi="Calibri"/>
                <w:sz w:val="19"/>
                <w:szCs w:val="19"/>
              </w:rPr>
              <w:t xml:space="preserve">Oui</w:t>
            </w:r>
          </w:p>
        </w:tc>
        <w:tc>
          <w:tcPr>
            <w:tcW w:type="dxa" w:w="1600"/>
            <w:tcMar>
              <w:top w:type="dxa" w:w="80"/>
              <w:left w:type="dxa" w:w="110"/>
              <w:bottom w:type="dxa" w:w="80"/>
              <w:right w:type="dxa" w:w="110"/>
            </w:tcMar>
          </w:tcPr>
          <w:p>
            <w:pPr>
              <w:spacing w:after="0" w:line="260"/>
            </w:pPr>
            <w:r>
              <w:rPr>
                <w:rFonts w:ascii="Calibri" w:cs="Calibri" w:eastAsia="Calibri" w:hAnsi="Calibri"/>
                <w:sz w:val="19"/>
                <w:szCs w:val="19"/>
              </w:rPr>
              <w:t xml:space="preserve">Oui</w:t>
            </w:r>
          </w:p>
        </w:tc>
        <w:tc>
          <w:tcPr>
            <w:tcW w:type="dxa" w:w="1600"/>
            <w:tcMar>
              <w:top w:type="dxa" w:w="80"/>
              <w:left w:type="dxa" w:w="110"/>
              <w:bottom w:type="dxa" w:w="80"/>
              <w:right w:type="dxa" w:w="110"/>
            </w:tcMar>
          </w:tcPr>
          <w:p>
            <w:pPr>
              <w:spacing w:after="0" w:line="260"/>
            </w:pPr>
            <w:r>
              <w:rPr>
                <w:rFonts w:ascii="Calibri" w:cs="Calibri" w:eastAsia="Calibri" w:hAnsi="Calibri"/>
                <w:sz w:val="19"/>
                <w:szCs w:val="19"/>
              </w:rPr>
              <w:t xml:space="preserve">Oui</w:t>
            </w:r>
          </w:p>
        </w:tc>
        <w:tc>
          <w:tcPr>
            <w:tcW w:type="dxa" w:w="1200"/>
            <w:tcMar>
              <w:top w:type="dxa" w:w="80"/>
              <w:left w:type="dxa" w:w="110"/>
              <w:bottom w:type="dxa" w:w="80"/>
              <w:right w:type="dxa" w:w="110"/>
            </w:tcMar>
          </w:tcPr>
          <w:p>
            <w:pPr>
              <w:spacing w:after="0" w:line="260"/>
            </w:pPr>
            <w:r>
              <w:rPr>
                <w:rFonts w:ascii="Calibri" w:cs="Calibri" w:eastAsia="Calibri" w:hAnsi="Calibri"/>
                <w:sz w:val="19"/>
                <w:szCs w:val="19"/>
              </w:rPr>
              <w:t xml:space="preserve">Oui</w:t>
            </w:r>
          </w:p>
        </w:tc>
        <w:tc>
          <w:tcPr>
            <w:tcW w:type="dxa" w:w="920"/>
            <w:tcMar>
              <w:top w:type="dxa" w:w="80"/>
              <w:left w:type="dxa" w:w="110"/>
              <w:bottom w:type="dxa" w:w="80"/>
              <w:right w:type="dxa" w:w="110"/>
            </w:tcMar>
          </w:tcPr>
          <w:p>
            <w:pPr>
              <w:spacing w:after="0" w:line="260"/>
            </w:pPr>
            <w:r>
              <w:rPr>
                <w:rFonts w:ascii="Calibri" w:cs="Calibri" w:eastAsia="Calibri" w:hAnsi="Calibri"/>
                <w:sz w:val="19"/>
                <w:szCs w:val="19"/>
              </w:rPr>
              <w:t xml:space="preserve">Oui</w:t>
            </w:r>
          </w:p>
        </w:tc>
      </w:tr>
      <w:tr>
        <w:tc>
          <w:tcPr>
            <w:tcW w:type="dxa" w:w="26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Ordres de mission</w:t>
            </w:r>
          </w:p>
        </w:tc>
        <w:tc>
          <w:tcPr>
            <w:tcW w:type="dxa" w:w="108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Oui</w:t>
            </w:r>
          </w:p>
        </w:tc>
        <w:tc>
          <w:tcPr>
            <w:tcW w:type="dxa" w:w="16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Oui</w:t>
            </w:r>
          </w:p>
        </w:tc>
        <w:tc>
          <w:tcPr>
            <w:tcW w:type="dxa" w:w="16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Oui</w:t>
            </w:r>
          </w:p>
        </w:tc>
        <w:tc>
          <w:tcPr>
            <w:tcW w:type="dxa" w:w="12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Oui</w:t>
            </w:r>
          </w:p>
        </w:tc>
        <w:tc>
          <w:tcPr>
            <w:tcW w:type="dxa" w:w="92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Oui</w:t>
            </w:r>
          </w:p>
        </w:tc>
      </w:tr>
      <w:tr>
        <w:tc>
          <w:tcPr>
            <w:tcW w:type="dxa" w:w="2600"/>
            <w:tcMar>
              <w:top w:type="dxa" w:w="80"/>
              <w:left w:type="dxa" w:w="110"/>
              <w:bottom w:type="dxa" w:w="80"/>
              <w:right w:type="dxa" w:w="110"/>
            </w:tcMar>
          </w:tcPr>
          <w:p>
            <w:pPr>
              <w:spacing w:after="0" w:line="260"/>
            </w:pPr>
            <w:r>
              <w:rPr>
                <w:rFonts w:ascii="Calibri" w:cs="Calibri" w:eastAsia="Calibri" w:hAnsi="Calibri"/>
                <w:sz w:val="19"/>
                <w:szCs w:val="19"/>
              </w:rPr>
              <w:t xml:space="preserve">Demandes de paiement</w:t>
            </w:r>
          </w:p>
        </w:tc>
        <w:tc>
          <w:tcPr>
            <w:tcW w:type="dxa" w:w="1080"/>
            <w:tcMar>
              <w:top w:type="dxa" w:w="80"/>
              <w:left w:type="dxa" w:w="110"/>
              <w:bottom w:type="dxa" w:w="80"/>
              <w:right w:type="dxa" w:w="110"/>
            </w:tcMar>
          </w:tcPr>
          <w:p>
            <w:pPr>
              <w:spacing w:after="0" w:line="260"/>
            </w:pPr>
            <w:r>
              <w:rPr>
                <w:rFonts w:ascii="Calibri" w:cs="Calibri" w:eastAsia="Calibri" w:hAnsi="Calibri"/>
                <w:sz w:val="19"/>
                <w:szCs w:val="19"/>
              </w:rPr>
              <w:t xml:space="preserve">—</w:t>
            </w:r>
          </w:p>
        </w:tc>
        <w:tc>
          <w:tcPr>
            <w:tcW w:type="dxa" w:w="1600"/>
            <w:tcMar>
              <w:top w:type="dxa" w:w="80"/>
              <w:left w:type="dxa" w:w="110"/>
              <w:bottom w:type="dxa" w:w="80"/>
              <w:right w:type="dxa" w:w="110"/>
            </w:tcMar>
          </w:tcPr>
          <w:p>
            <w:pPr>
              <w:spacing w:after="0" w:line="260"/>
            </w:pPr>
            <w:r>
              <w:rPr>
                <w:rFonts w:ascii="Calibri" w:cs="Calibri" w:eastAsia="Calibri" w:hAnsi="Calibri"/>
                <w:sz w:val="19"/>
                <w:szCs w:val="19"/>
              </w:rPr>
              <w:t xml:space="preserve">Oui</w:t>
            </w:r>
          </w:p>
        </w:tc>
        <w:tc>
          <w:tcPr>
            <w:tcW w:type="dxa" w:w="1600"/>
            <w:tcMar>
              <w:top w:type="dxa" w:w="80"/>
              <w:left w:type="dxa" w:w="110"/>
              <w:bottom w:type="dxa" w:w="80"/>
              <w:right w:type="dxa" w:w="110"/>
            </w:tcMar>
          </w:tcPr>
          <w:p>
            <w:pPr>
              <w:spacing w:after="0" w:line="260"/>
            </w:pPr>
            <w:r>
              <w:rPr>
                <w:rFonts w:ascii="Calibri" w:cs="Calibri" w:eastAsia="Calibri" w:hAnsi="Calibri"/>
                <w:sz w:val="19"/>
                <w:szCs w:val="19"/>
              </w:rPr>
              <w:t xml:space="preserve">Oui</w:t>
            </w:r>
          </w:p>
        </w:tc>
        <w:tc>
          <w:tcPr>
            <w:tcW w:type="dxa" w:w="1200"/>
            <w:tcMar>
              <w:top w:type="dxa" w:w="80"/>
              <w:left w:type="dxa" w:w="110"/>
              <w:bottom w:type="dxa" w:w="80"/>
              <w:right w:type="dxa" w:w="110"/>
            </w:tcMar>
          </w:tcPr>
          <w:p>
            <w:pPr>
              <w:spacing w:after="0" w:line="260"/>
            </w:pPr>
            <w:r>
              <w:rPr>
                <w:rFonts w:ascii="Calibri" w:cs="Calibri" w:eastAsia="Calibri" w:hAnsi="Calibri"/>
                <w:sz w:val="19"/>
                <w:szCs w:val="19"/>
              </w:rPr>
              <w:t xml:space="preserve">Oui</w:t>
            </w:r>
          </w:p>
        </w:tc>
        <w:tc>
          <w:tcPr>
            <w:tcW w:type="dxa" w:w="920"/>
            <w:tcMar>
              <w:top w:type="dxa" w:w="80"/>
              <w:left w:type="dxa" w:w="110"/>
              <w:bottom w:type="dxa" w:w="80"/>
              <w:right w:type="dxa" w:w="110"/>
            </w:tcMar>
          </w:tcPr>
          <w:p>
            <w:pPr>
              <w:spacing w:after="0" w:line="260"/>
            </w:pPr>
            <w:r>
              <w:rPr>
                <w:rFonts w:ascii="Calibri" w:cs="Calibri" w:eastAsia="Calibri" w:hAnsi="Calibri"/>
                <w:sz w:val="19"/>
                <w:szCs w:val="19"/>
              </w:rPr>
              <w:t xml:space="preserve">Oui</w:t>
            </w:r>
          </w:p>
        </w:tc>
      </w:tr>
      <w:tr>
        <w:tc>
          <w:tcPr>
            <w:tcW w:type="dxa" w:w="26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Tableau de bord direction</w:t>
            </w:r>
          </w:p>
        </w:tc>
        <w:tc>
          <w:tcPr>
            <w:tcW w:type="dxa" w:w="108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w:t>
            </w:r>
          </w:p>
        </w:tc>
        <w:tc>
          <w:tcPr>
            <w:tcW w:type="dxa" w:w="16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w:t>
            </w:r>
          </w:p>
        </w:tc>
        <w:tc>
          <w:tcPr>
            <w:tcW w:type="dxa" w:w="16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w:t>
            </w:r>
          </w:p>
        </w:tc>
        <w:tc>
          <w:tcPr>
            <w:tcW w:type="dxa" w:w="12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Oui</w:t>
            </w:r>
          </w:p>
        </w:tc>
        <w:tc>
          <w:tcPr>
            <w:tcW w:type="dxa" w:w="92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Oui</w:t>
            </w:r>
          </w:p>
        </w:tc>
      </w:tr>
    </w:tbl>
    <w:p>
      <w:pPr>
        <w:spacing w:after="120"/>
      </w:pPr>
    </w:p>
    <w:p>
      <w:pPr>
        <w:spacing w:after="120" w:line="276"/>
      </w:pPr>
      <w:r>
        <w:rPr>
          <w:rFonts w:ascii="Calibri" w:cs="Calibri" w:eastAsia="Calibri" w:hAnsi="Calibri"/>
          <w:b/>
          <w:bCs/>
          <w:sz w:val="21"/>
          <w:szCs w:val="21"/>
        </w:rPr>
        <w:t xml:space="preserve">Le contrôle des droits est appliqué à deux niveaux : en façade (affichage des tuiles et de la navigation) et, surtout, dans les règles de sécurité de la base de données, qui font foi. Un contournement de l’interface ne doit donner accès à aucune donnée.</w:t>
      </w:r>
    </w:p>
    <w:p>
      <w:pPr>
        <w:pStyle w:val="Heading1"/>
        <w:spacing w:after="160" w:before="320"/>
      </w:pPr>
      <w:r>
        <w:t xml:space="preserve">7. Modèle de données</w:t>
      </w:r>
    </w:p>
    <w:p>
      <w:pPr>
        <w:spacing w:after="120" w:line="276"/>
      </w:pPr>
      <w:r>
        <w:rPr>
          <w:rFonts w:ascii="Calibri" w:cs="Calibri" w:eastAsia="Calibri" w:hAnsi="Calibri"/>
          <w:sz w:val="21"/>
          <w:szCs w:val="21"/>
        </w:rPr>
        <w:t xml:space="preserve">Les données sont organisées en collections. Les identifiants en gras référencent d’autres collections.</w:t>
      </w:r>
    </w:p>
    <w:p>
      <w:pPr>
        <w:pStyle w:val="Heading2"/>
        <w:spacing w:after="120" w:before="240"/>
      </w:pPr>
      <w:r>
        <w:t xml:space="preserve">7.1 Référentiels</w:t>
      </w:r>
    </w:p>
    <w:tbl>
      <w:tblPr>
        <w:tblW w:type="dxa" w:w="9000"/>
        <w:tblBorders>
          <w:top w:val="single" w:color="D9D2CA" w:sz="4"/>
          <w:left w:val="single" w:color="D9D2CA" w:sz="4"/>
          <w:bottom w:val="single" w:color="D9D2CA" w:sz="4"/>
          <w:right w:val="single" w:color="D9D2CA" w:sz="4"/>
          <w:insideH w:val="single" w:color="D9D2CA" w:sz="4"/>
          <w:insideV w:val="single" w:color="D9D2CA" w:sz="4"/>
        </w:tblBorders>
      </w:tblPr>
      <w:tblGrid>
        <w:gridCol w:w="2600"/>
        <w:gridCol w:w="6400"/>
      </w:tblGrid>
      <w:tr>
        <w:trPr>
          <w:tblHeader/>
        </w:trPr>
        <w:tc>
          <w:tcPr>
            <w:tcW w:type="dxa" w:w="26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Collection</w:t>
            </w:r>
          </w:p>
        </w:tc>
        <w:tc>
          <w:tcPr>
            <w:tcW w:type="dxa" w:w="64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Champs principaux</w:t>
            </w:r>
          </w:p>
        </w:tc>
      </w:tr>
      <w:tr>
        <w:tc>
          <w:tcPr>
            <w:tcW w:type="dxa" w:w="2600"/>
            <w:tcMar>
              <w:top w:type="dxa" w:w="80"/>
              <w:left w:type="dxa" w:w="110"/>
              <w:bottom w:type="dxa" w:w="80"/>
              <w:right w:type="dxa" w:w="110"/>
            </w:tcMar>
          </w:tcPr>
          <w:p>
            <w:pPr>
              <w:spacing w:after="0" w:line="260"/>
            </w:pPr>
            <w:r>
              <w:rPr>
                <w:rFonts w:ascii="Calibri" w:cs="Calibri" w:eastAsia="Calibri" w:hAnsi="Calibri"/>
                <w:sz w:val="19"/>
                <w:szCs w:val="19"/>
              </w:rPr>
              <w:t xml:space="preserve">agents</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email, nom, rôle, actif</w:t>
            </w:r>
          </w:p>
        </w:tc>
      </w:tr>
      <w:tr>
        <w:tc>
          <w:tcPr>
            <w:tcW w:type="dxa" w:w="26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programmes</w:t>
            </w:r>
          </w:p>
        </w:tc>
        <w:tc>
          <w:tcPr>
            <w:tcW w:type="dxa" w:w="6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code, intitulé, budgetTotal, bailleur</w:t>
            </w:r>
          </w:p>
        </w:tc>
      </w:tr>
      <w:tr>
        <w:tc>
          <w:tcPr>
            <w:tcW w:type="dxa" w:w="2600"/>
            <w:tcMar>
              <w:top w:type="dxa" w:w="80"/>
              <w:left w:type="dxa" w:w="110"/>
              <w:bottom w:type="dxa" w:w="80"/>
              <w:right w:type="dxa" w:w="110"/>
            </w:tcMar>
          </w:tcPr>
          <w:p>
            <w:pPr>
              <w:spacing w:after="0" w:line="260"/>
            </w:pPr>
            <w:r>
              <w:rPr>
                <w:rFonts w:ascii="Calibri" w:cs="Calibri" w:eastAsia="Calibri" w:hAnsi="Calibri"/>
                <w:sz w:val="19"/>
                <w:szCs w:val="19"/>
              </w:rPr>
              <w:t xml:space="preserve">projets</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programmeId, intitulé, responsableId, période</w:t>
            </w:r>
          </w:p>
        </w:tc>
      </w:tr>
    </w:tbl>
    <w:p>
      <w:pPr>
        <w:pStyle w:val="Heading2"/>
        <w:spacing w:after="120" w:before="240"/>
      </w:pPr>
      <w:r>
        <w:t xml:space="preserve">7.2 Pilotage et revue</w:t>
      </w:r>
    </w:p>
    <w:tbl>
      <w:tblPr>
        <w:tblW w:type="dxa" w:w="9000"/>
        <w:tblBorders>
          <w:top w:val="single" w:color="D9D2CA" w:sz="4"/>
          <w:left w:val="single" w:color="D9D2CA" w:sz="4"/>
          <w:bottom w:val="single" w:color="D9D2CA" w:sz="4"/>
          <w:right w:val="single" w:color="D9D2CA" w:sz="4"/>
          <w:insideH w:val="single" w:color="D9D2CA" w:sz="4"/>
          <w:insideV w:val="single" w:color="D9D2CA" w:sz="4"/>
        </w:tblBorders>
      </w:tblPr>
      <w:tblGrid>
        <w:gridCol w:w="2600"/>
        <w:gridCol w:w="6400"/>
      </w:tblGrid>
      <w:tr>
        <w:trPr>
          <w:tblHeader/>
        </w:trPr>
        <w:tc>
          <w:tcPr>
            <w:tcW w:type="dxa" w:w="26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Collection</w:t>
            </w:r>
          </w:p>
        </w:tc>
        <w:tc>
          <w:tcPr>
            <w:tcW w:type="dxa" w:w="64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Champs principaux</w:t>
            </w:r>
          </w:p>
        </w:tc>
      </w:tr>
      <w:tr>
        <w:tc>
          <w:tcPr>
            <w:tcW w:type="dxa" w:w="2600"/>
            <w:tcMar>
              <w:top w:type="dxa" w:w="80"/>
              <w:left w:type="dxa" w:w="110"/>
              <w:bottom w:type="dxa" w:w="80"/>
              <w:right w:type="dxa" w:w="110"/>
            </w:tcMar>
          </w:tcPr>
          <w:p>
            <w:pPr>
              <w:spacing w:after="0" w:line="260"/>
            </w:pPr>
            <w:r>
              <w:rPr>
                <w:rFonts w:ascii="Calibri" w:cs="Calibri" w:eastAsia="Calibri" w:hAnsi="Calibri"/>
                <w:sz w:val="19"/>
                <w:szCs w:val="19"/>
              </w:rPr>
              <w:t xml:space="preserve">activites</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projetId, intitulé, responsableId, budget, statut</w:t>
            </w:r>
          </w:p>
        </w:tc>
      </w:tr>
      <w:tr>
        <w:tc>
          <w:tcPr>
            <w:tcW w:type="dxa" w:w="26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taches</w:t>
            </w:r>
          </w:p>
        </w:tc>
        <w:tc>
          <w:tcPr>
            <w:tcW w:type="dxa" w:w="6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activiteId, responsableId, échéance, statut, avancement</w:t>
            </w:r>
          </w:p>
        </w:tc>
      </w:tr>
      <w:tr>
        <w:tc>
          <w:tcPr>
            <w:tcW w:type="dxa" w:w="2600"/>
            <w:tcMar>
              <w:top w:type="dxa" w:w="80"/>
              <w:left w:type="dxa" w:w="110"/>
              <w:bottom w:type="dxa" w:w="80"/>
              <w:right w:type="dxa" w:w="110"/>
            </w:tcMar>
          </w:tcPr>
          <w:p>
            <w:pPr>
              <w:spacing w:after="0" w:line="260"/>
            </w:pPr>
            <w:r>
              <w:rPr>
                <w:rFonts w:ascii="Calibri" w:cs="Calibri" w:eastAsia="Calibri" w:hAnsi="Calibri"/>
                <w:sz w:val="19"/>
                <w:szCs w:val="19"/>
              </w:rPr>
              <w:t xml:space="preserve">reunions</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date, participants, ordreDuJour, compteRendu</w:t>
            </w:r>
          </w:p>
        </w:tc>
      </w:tr>
      <w:tr>
        <w:tc>
          <w:tcPr>
            <w:tcW w:type="dxa" w:w="26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decisions</w:t>
            </w:r>
          </w:p>
        </w:tc>
        <w:tc>
          <w:tcPr>
            <w:tcW w:type="dxa" w:w="6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reunionId, libellé, responsableId, échéance, statut</w:t>
            </w:r>
          </w:p>
        </w:tc>
      </w:tr>
      <w:tr>
        <w:tc>
          <w:tcPr>
            <w:tcW w:type="dxa" w:w="2600"/>
            <w:tcMar>
              <w:top w:type="dxa" w:w="80"/>
              <w:left w:type="dxa" w:w="110"/>
              <w:bottom w:type="dxa" w:w="80"/>
              <w:right w:type="dxa" w:w="110"/>
            </w:tcMar>
          </w:tcPr>
          <w:p>
            <w:pPr>
              <w:spacing w:after="0" w:line="260"/>
            </w:pPr>
            <w:r>
              <w:rPr>
                <w:rFonts w:ascii="Calibri" w:cs="Calibri" w:eastAsia="Calibri" w:hAnsi="Calibri"/>
                <w:sz w:val="19"/>
                <w:szCs w:val="19"/>
              </w:rPr>
              <w:t xml:space="preserve">actions</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decisionId, libellé, responsableId, échéance, statut</w:t>
            </w:r>
          </w:p>
        </w:tc>
      </w:tr>
      <w:tr>
        <w:tc>
          <w:tcPr>
            <w:tcW w:type="dxa" w:w="26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pointsVigilance</w:t>
            </w:r>
          </w:p>
        </w:tc>
        <w:tc>
          <w:tcPr>
            <w:tcW w:type="dxa" w:w="6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objet, niveau, lienDossier, statut</w:t>
            </w:r>
          </w:p>
        </w:tc>
      </w:tr>
    </w:tbl>
    <w:p>
      <w:pPr>
        <w:pStyle w:val="Heading2"/>
        <w:spacing w:after="120" w:before="240"/>
      </w:pPr>
      <w:r>
        <w:t xml:space="preserve">7.3 Circuits métier</w:t>
      </w:r>
    </w:p>
    <w:tbl>
      <w:tblPr>
        <w:tblW w:type="dxa" w:w="9000"/>
        <w:tblBorders>
          <w:top w:val="single" w:color="D9D2CA" w:sz="4"/>
          <w:left w:val="single" w:color="D9D2CA" w:sz="4"/>
          <w:bottom w:val="single" w:color="D9D2CA" w:sz="4"/>
          <w:right w:val="single" w:color="D9D2CA" w:sz="4"/>
          <w:insideH w:val="single" w:color="D9D2CA" w:sz="4"/>
          <w:insideV w:val="single" w:color="D9D2CA" w:sz="4"/>
        </w:tblBorders>
      </w:tblPr>
      <w:tblGrid>
        <w:gridCol w:w="2600"/>
        <w:gridCol w:w="6400"/>
      </w:tblGrid>
      <w:tr>
        <w:trPr>
          <w:tblHeader/>
        </w:trPr>
        <w:tc>
          <w:tcPr>
            <w:tcW w:type="dxa" w:w="26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Collection</w:t>
            </w:r>
          </w:p>
        </w:tc>
        <w:tc>
          <w:tcPr>
            <w:tcW w:type="dxa" w:w="64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Champs principaux</w:t>
            </w:r>
          </w:p>
        </w:tc>
      </w:tr>
      <w:tr>
        <w:tc>
          <w:tcPr>
            <w:tcW w:type="dxa" w:w="2600"/>
            <w:tcMar>
              <w:top w:type="dxa" w:w="80"/>
              <w:left w:type="dxa" w:w="110"/>
              <w:bottom w:type="dxa" w:w="80"/>
              <w:right w:type="dxa" w:w="110"/>
            </w:tcMar>
          </w:tcPr>
          <w:p>
            <w:pPr>
              <w:spacing w:after="0" w:line="260"/>
            </w:pPr>
            <w:r>
              <w:rPr>
                <w:rFonts w:ascii="Calibri" w:cs="Calibri" w:eastAsia="Calibri" w:hAnsi="Calibri"/>
                <w:sz w:val="19"/>
                <w:szCs w:val="19"/>
              </w:rPr>
              <w:t xml:space="preserve">tdr</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projetId, objet, statut, valideurs, livrables</w:t>
            </w:r>
          </w:p>
        </w:tc>
      </w:tr>
      <w:tr>
        <w:tc>
          <w:tcPr>
            <w:tcW w:type="dxa" w:w="26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livrables</w:t>
            </w:r>
          </w:p>
        </w:tc>
        <w:tc>
          <w:tcPr>
            <w:tcW w:type="dxa" w:w="6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tdrId, intitulé, fichierId, statut</w:t>
            </w:r>
          </w:p>
        </w:tc>
      </w:tr>
      <w:tr>
        <w:tc>
          <w:tcPr>
            <w:tcW w:type="dxa" w:w="2600"/>
            <w:tcMar>
              <w:top w:type="dxa" w:w="80"/>
              <w:left w:type="dxa" w:w="110"/>
              <w:bottom w:type="dxa" w:w="80"/>
              <w:right w:type="dxa" w:w="110"/>
            </w:tcMar>
          </w:tcPr>
          <w:p>
            <w:pPr>
              <w:spacing w:after="0" w:line="260"/>
            </w:pPr>
            <w:r>
              <w:rPr>
                <w:rFonts w:ascii="Calibri" w:cs="Calibri" w:eastAsia="Calibri" w:hAnsi="Calibri"/>
                <w:sz w:val="19"/>
                <w:szCs w:val="19"/>
              </w:rPr>
              <w:t xml:space="preserve">requisitions</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progId, objet, montant, fournisseur, statut</w:t>
            </w:r>
          </w:p>
        </w:tc>
      </w:tr>
      <w:tr>
        <w:tc>
          <w:tcPr>
            <w:tcW w:type="dxa" w:w="26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bonsCommande</w:t>
            </w:r>
          </w:p>
        </w:tc>
        <w:tc>
          <w:tcPr>
            <w:tcW w:type="dxa" w:w="6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requisitionId, fournisseur, montant, progId, fichierId, statut</w:t>
            </w:r>
          </w:p>
        </w:tc>
      </w:tr>
      <w:tr>
        <w:tc>
          <w:tcPr>
            <w:tcW w:type="dxa" w:w="2600"/>
            <w:tcMar>
              <w:top w:type="dxa" w:w="80"/>
              <w:left w:type="dxa" w:w="110"/>
              <w:bottom w:type="dxa" w:w="80"/>
              <w:right w:type="dxa" w:w="110"/>
            </w:tcMar>
          </w:tcPr>
          <w:p>
            <w:pPr>
              <w:spacing w:after="0" w:line="260"/>
            </w:pPr>
            <w:r>
              <w:rPr>
                <w:rFonts w:ascii="Calibri" w:cs="Calibri" w:eastAsia="Calibri" w:hAnsi="Calibri"/>
                <w:sz w:val="19"/>
                <w:szCs w:val="19"/>
              </w:rPr>
              <w:t xml:space="preserve">demandesPaiement</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progId, type, source, montant, bénéficiaire, statut, avanceId</w:t>
            </w:r>
          </w:p>
        </w:tc>
      </w:tr>
      <w:tr>
        <w:tc>
          <w:tcPr>
            <w:tcW w:type="dxa" w:w="26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ordresMission</w:t>
            </w:r>
          </w:p>
        </w:tc>
        <w:tc>
          <w:tcPr>
            <w:tcW w:type="dxa" w:w="6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agentId, objet, période, coûts, statut</w:t>
            </w:r>
          </w:p>
        </w:tc>
      </w:tr>
      <w:tr>
        <w:tc>
          <w:tcPr>
            <w:tcW w:type="dxa" w:w="2600"/>
            <w:tcMar>
              <w:top w:type="dxa" w:w="80"/>
              <w:left w:type="dxa" w:w="110"/>
              <w:bottom w:type="dxa" w:w="80"/>
              <w:right w:type="dxa" w:w="110"/>
            </w:tcMar>
          </w:tcPr>
          <w:p>
            <w:pPr>
              <w:spacing w:after="0" w:line="260"/>
            </w:pPr>
            <w:r>
              <w:rPr>
                <w:rFonts w:ascii="Calibri" w:cs="Calibri" w:eastAsia="Calibri" w:hAnsi="Calibri"/>
                <w:sz w:val="19"/>
                <w:szCs w:val="19"/>
              </w:rPr>
              <w:t xml:space="preserve">avances</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ordreMissionId, agentId, progId, montant, omRef</w:t>
            </w:r>
          </w:p>
        </w:tc>
      </w:tr>
    </w:tbl>
    <w:p>
      <w:pPr>
        <w:pStyle w:val="Heading2"/>
        <w:spacing w:after="120" w:before="240"/>
      </w:pPr>
      <w:r>
        <w:t xml:space="preserve">7.4 Budget et traçabilité</w:t>
      </w:r>
    </w:p>
    <w:tbl>
      <w:tblPr>
        <w:tblW w:type="dxa" w:w="9000"/>
        <w:tblBorders>
          <w:top w:val="single" w:color="D9D2CA" w:sz="4"/>
          <w:left w:val="single" w:color="D9D2CA" w:sz="4"/>
          <w:bottom w:val="single" w:color="D9D2CA" w:sz="4"/>
          <w:right w:val="single" w:color="D9D2CA" w:sz="4"/>
          <w:insideH w:val="single" w:color="D9D2CA" w:sz="4"/>
          <w:insideV w:val="single" w:color="D9D2CA" w:sz="4"/>
        </w:tblBorders>
      </w:tblPr>
      <w:tblGrid>
        <w:gridCol w:w="2200"/>
        <w:gridCol w:w="4600"/>
        <w:gridCol w:w="2200"/>
      </w:tblGrid>
      <w:tr>
        <w:trPr>
          <w:tblHeader/>
        </w:trPr>
        <w:tc>
          <w:tcPr>
            <w:tcW w:type="dxa" w:w="22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Collection</w:t>
            </w:r>
          </w:p>
        </w:tc>
        <w:tc>
          <w:tcPr>
            <w:tcW w:type="dxa" w:w="46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Champs principaux</w:t>
            </w:r>
          </w:p>
        </w:tc>
        <w:tc>
          <w:tcPr>
            <w:tcW w:type="dxa" w:w="22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Écriture</w:t>
            </w:r>
          </w:p>
        </w:tc>
      </w:tr>
      <w:tr>
        <w:tc>
          <w:tcPr>
            <w:tcW w:type="dxa" w:w="2200"/>
            <w:tcMar>
              <w:top w:type="dxa" w:w="80"/>
              <w:left w:type="dxa" w:w="110"/>
              <w:bottom w:type="dxa" w:w="80"/>
              <w:right w:type="dxa" w:w="110"/>
            </w:tcMar>
          </w:tcPr>
          <w:p>
            <w:pPr>
              <w:spacing w:after="0" w:line="260"/>
            </w:pPr>
            <w:r>
              <w:rPr>
                <w:rFonts w:ascii="Calibri" w:cs="Calibri" w:eastAsia="Calibri" w:hAnsi="Calibri"/>
                <w:sz w:val="19"/>
                <w:szCs w:val="19"/>
              </w:rPr>
              <w:t xml:space="preserve">engagements</w:t>
            </w:r>
          </w:p>
        </w:tc>
        <w:tc>
          <w:tcPr>
            <w:tcW w:type="dxa" w:w="4600"/>
            <w:tcMar>
              <w:top w:type="dxa" w:w="80"/>
              <w:left w:type="dxa" w:w="110"/>
              <w:bottom w:type="dxa" w:w="80"/>
              <w:right w:type="dxa" w:w="110"/>
            </w:tcMar>
          </w:tcPr>
          <w:p>
            <w:pPr>
              <w:spacing w:after="0" w:line="260"/>
            </w:pPr>
            <w:r>
              <w:rPr>
                <w:rFonts w:ascii="Calibri" w:cs="Calibri" w:eastAsia="Calibri" w:hAnsi="Calibri"/>
                <w:sz w:val="19"/>
                <w:szCs w:val="19"/>
              </w:rPr>
              <w:t xml:space="preserve">progId, engagé, budgetTotal, disponible, recalculéLe</w:t>
            </w:r>
          </w:p>
        </w:tc>
        <w:tc>
          <w:tcPr>
            <w:tcW w:type="dxa" w:w="2200"/>
            <w:tcMar>
              <w:top w:type="dxa" w:w="80"/>
              <w:left w:type="dxa" w:w="110"/>
              <w:bottom w:type="dxa" w:w="80"/>
              <w:right w:type="dxa" w:w="110"/>
            </w:tcMar>
          </w:tcPr>
          <w:p>
            <w:pPr>
              <w:spacing w:after="0" w:line="260"/>
            </w:pPr>
            <w:r>
              <w:rPr>
                <w:rFonts w:ascii="Calibri" w:cs="Calibri" w:eastAsia="Calibri" w:hAnsi="Calibri"/>
                <w:sz w:val="19"/>
                <w:szCs w:val="19"/>
              </w:rPr>
              <w:t xml:space="preserve">Serveur uniquement</w:t>
            </w:r>
          </w:p>
        </w:tc>
      </w:tr>
      <w:tr>
        <w:tc>
          <w:tcPr>
            <w:tcW w:type="dxa" w:w="22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audit</w:t>
            </w:r>
          </w:p>
        </w:tc>
        <w:tc>
          <w:tcPr>
            <w:tcW w:type="dxa" w:w="46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acteur, action, cible, horodatage</w:t>
            </w:r>
          </w:p>
        </w:tc>
        <w:tc>
          <w:tcPr>
            <w:tcW w:type="dxa" w:w="22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Ajout seul, jamais de modification</w:t>
            </w:r>
          </w:p>
        </w:tc>
      </w:tr>
    </w:tbl>
    <w:p>
      <w:pPr>
        <w:pStyle w:val="Heading1"/>
        <w:spacing w:after="160" w:before="320"/>
      </w:pPr>
      <w:r>
        <w:t xml:space="preserve">8. Intégrations à la suite bureautique</w:t>
      </w:r>
    </w:p>
    <w:tbl>
      <w:tblPr>
        <w:tblW w:type="dxa" w:w="9000"/>
        <w:tblBorders>
          <w:top w:val="single" w:color="D9D2CA" w:sz="4"/>
          <w:left w:val="single" w:color="D9D2CA" w:sz="4"/>
          <w:bottom w:val="single" w:color="D9D2CA" w:sz="4"/>
          <w:right w:val="single" w:color="D9D2CA" w:sz="4"/>
          <w:insideH w:val="single" w:color="D9D2CA" w:sz="4"/>
          <w:insideV w:val="single" w:color="D9D2CA" w:sz="4"/>
        </w:tblBorders>
      </w:tblPr>
      <w:tblGrid>
        <w:gridCol w:w="2400"/>
        <w:gridCol w:w="2200"/>
        <w:gridCol w:w="1800"/>
        <w:gridCol w:w="2600"/>
      </w:tblGrid>
      <w:tr>
        <w:trPr>
          <w:tblHeader/>
        </w:trPr>
        <w:tc>
          <w:tcPr>
            <w:tcW w:type="dxa" w:w="24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Fonction</w:t>
            </w:r>
          </w:p>
        </w:tc>
        <w:tc>
          <w:tcPr>
            <w:tcW w:type="dxa" w:w="22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Service</w:t>
            </w:r>
          </w:p>
        </w:tc>
        <w:tc>
          <w:tcPr>
            <w:tcW w:type="dxa" w:w="18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Mode</w:t>
            </w:r>
          </w:p>
        </w:tc>
        <w:tc>
          <w:tcPr>
            <w:tcW w:type="dxa" w:w="26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Portée</w:t>
            </w:r>
          </w:p>
        </w:tc>
      </w:tr>
      <w:tr>
        <w:tc>
          <w:tcPr>
            <w:tcW w:type="dxa" w:w="2400"/>
            <w:tcMar>
              <w:top w:type="dxa" w:w="80"/>
              <w:left w:type="dxa" w:w="110"/>
              <w:bottom w:type="dxa" w:w="80"/>
              <w:right w:type="dxa" w:w="110"/>
            </w:tcMar>
          </w:tcPr>
          <w:p>
            <w:pPr>
              <w:spacing w:after="0" w:line="260"/>
            </w:pPr>
            <w:r>
              <w:rPr>
                <w:rFonts w:ascii="Calibri" w:cs="Calibri" w:eastAsia="Calibri" w:hAnsi="Calibri"/>
                <w:sz w:val="19"/>
                <w:szCs w:val="19"/>
              </w:rPr>
              <w:t xml:space="preserve">Aperçu messagerie</w:t>
            </w:r>
          </w:p>
        </w:tc>
        <w:tc>
          <w:tcPr>
            <w:tcW w:type="dxa" w:w="2200"/>
            <w:tcMar>
              <w:top w:type="dxa" w:w="80"/>
              <w:left w:type="dxa" w:w="110"/>
              <w:bottom w:type="dxa" w:w="80"/>
              <w:right w:type="dxa" w:w="110"/>
            </w:tcMar>
          </w:tcPr>
          <w:p>
            <w:pPr>
              <w:spacing w:after="0" w:line="260"/>
            </w:pPr>
            <w:r>
              <w:rPr>
                <w:rFonts w:ascii="Calibri" w:cs="Calibri" w:eastAsia="Calibri" w:hAnsi="Calibri"/>
                <w:sz w:val="19"/>
                <w:szCs w:val="19"/>
              </w:rPr>
              <w:t xml:space="preserve">Gmail (lecture)</w:t>
            </w:r>
          </w:p>
        </w:tc>
        <w:tc>
          <w:tcPr>
            <w:tcW w:type="dxa" w:w="1800"/>
            <w:tcMar>
              <w:top w:type="dxa" w:w="80"/>
              <w:left w:type="dxa" w:w="110"/>
              <w:bottom w:type="dxa" w:w="80"/>
              <w:right w:type="dxa" w:w="110"/>
            </w:tcMar>
          </w:tcPr>
          <w:p>
            <w:pPr>
              <w:spacing w:after="0" w:line="260"/>
            </w:pPr>
            <w:r>
              <w:rPr>
                <w:rFonts w:ascii="Calibri" w:cs="Calibri" w:eastAsia="Calibri" w:hAnsi="Calibri"/>
                <w:sz w:val="19"/>
                <w:szCs w:val="19"/>
              </w:rPr>
              <w:t xml:space="preserve">Direct</w:t>
            </w:r>
          </w:p>
        </w:tc>
        <w:tc>
          <w:tcPr>
            <w:tcW w:type="dxa" w:w="2600"/>
            <w:tcMar>
              <w:top w:type="dxa" w:w="80"/>
              <w:left w:type="dxa" w:w="110"/>
              <w:bottom w:type="dxa" w:w="80"/>
              <w:right w:type="dxa" w:w="110"/>
            </w:tcMar>
          </w:tcPr>
          <w:p>
            <w:pPr>
              <w:spacing w:after="0" w:line="260"/>
            </w:pPr>
            <w:r>
              <w:rPr>
                <w:rFonts w:ascii="Calibri" w:cs="Calibri" w:eastAsia="Calibri" w:hAnsi="Calibri"/>
                <w:sz w:val="19"/>
                <w:szCs w:val="19"/>
              </w:rPr>
              <w:t xml:space="preserve">Lecture seule</w:t>
            </w:r>
          </w:p>
        </w:tc>
      </w:tr>
      <w:tr>
        <w:tc>
          <w:tcPr>
            <w:tcW w:type="dxa" w:w="2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Aperçu agenda</w:t>
            </w:r>
          </w:p>
        </w:tc>
        <w:tc>
          <w:tcPr>
            <w:tcW w:type="dxa" w:w="22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Calendar (lecture)</w:t>
            </w:r>
          </w:p>
        </w:tc>
        <w:tc>
          <w:tcPr>
            <w:tcW w:type="dxa" w:w="18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Direct</w:t>
            </w:r>
          </w:p>
        </w:tc>
        <w:tc>
          <w:tcPr>
            <w:tcW w:type="dxa" w:w="26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Lecture seule</w:t>
            </w:r>
          </w:p>
        </w:tc>
      </w:tr>
      <w:tr>
        <w:tc>
          <w:tcPr>
            <w:tcW w:type="dxa" w:w="2400"/>
            <w:tcMar>
              <w:top w:type="dxa" w:w="80"/>
              <w:left w:type="dxa" w:w="110"/>
              <w:bottom w:type="dxa" w:w="80"/>
              <w:right w:type="dxa" w:w="110"/>
            </w:tcMar>
          </w:tcPr>
          <w:p>
            <w:pPr>
              <w:spacing w:after="0" w:line="260"/>
            </w:pPr>
            <w:r>
              <w:rPr>
                <w:rFonts w:ascii="Calibri" w:cs="Calibri" w:eastAsia="Calibri" w:hAnsi="Calibri"/>
                <w:sz w:val="19"/>
                <w:szCs w:val="19"/>
              </w:rPr>
              <w:t xml:space="preserve">Stockage documentaire</w:t>
            </w:r>
          </w:p>
        </w:tc>
        <w:tc>
          <w:tcPr>
            <w:tcW w:type="dxa" w:w="2200"/>
            <w:tcMar>
              <w:top w:type="dxa" w:w="80"/>
              <w:left w:type="dxa" w:w="110"/>
              <w:bottom w:type="dxa" w:w="80"/>
              <w:right w:type="dxa" w:w="110"/>
            </w:tcMar>
          </w:tcPr>
          <w:p>
            <w:pPr>
              <w:spacing w:after="0" w:line="260"/>
            </w:pPr>
            <w:r>
              <w:rPr>
                <w:rFonts w:ascii="Calibri" w:cs="Calibri" w:eastAsia="Calibri" w:hAnsi="Calibri"/>
                <w:sz w:val="19"/>
                <w:szCs w:val="19"/>
              </w:rPr>
              <w:t xml:space="preserve">Drive partagé</w:t>
            </w:r>
          </w:p>
        </w:tc>
        <w:tc>
          <w:tcPr>
            <w:tcW w:type="dxa" w:w="1800"/>
            <w:tcMar>
              <w:top w:type="dxa" w:w="80"/>
              <w:left w:type="dxa" w:w="110"/>
              <w:bottom w:type="dxa" w:w="80"/>
              <w:right w:type="dxa" w:w="110"/>
            </w:tcMar>
          </w:tcPr>
          <w:p>
            <w:pPr>
              <w:spacing w:after="0" w:line="260"/>
            </w:pPr>
            <w:r>
              <w:rPr>
                <w:rFonts w:ascii="Calibri" w:cs="Calibri" w:eastAsia="Calibri" w:hAnsi="Calibri"/>
                <w:sz w:val="19"/>
                <w:szCs w:val="19"/>
              </w:rPr>
              <w:t xml:space="preserve">Direct et serveur</w:t>
            </w:r>
          </w:p>
        </w:tc>
        <w:tc>
          <w:tcPr>
            <w:tcW w:type="dxa" w:w="2600"/>
            <w:tcMar>
              <w:top w:type="dxa" w:w="80"/>
              <w:left w:type="dxa" w:w="110"/>
              <w:bottom w:type="dxa" w:w="80"/>
              <w:right w:type="dxa" w:w="110"/>
            </w:tcMar>
          </w:tcPr>
          <w:p>
            <w:pPr>
              <w:spacing w:after="0" w:line="260"/>
            </w:pPr>
            <w:r>
              <w:rPr>
                <w:rFonts w:ascii="Calibri" w:cs="Calibri" w:eastAsia="Calibri" w:hAnsi="Calibri"/>
                <w:sz w:val="19"/>
                <w:szCs w:val="19"/>
              </w:rPr>
              <w:t xml:space="preserve">Fichiers créés par l’application</w:t>
            </w:r>
          </w:p>
        </w:tc>
      </w:tr>
      <w:tr>
        <w:tc>
          <w:tcPr>
            <w:tcW w:type="dxa" w:w="2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Envoi de courriels</w:t>
            </w:r>
          </w:p>
        </w:tc>
        <w:tc>
          <w:tcPr>
            <w:tcW w:type="dxa" w:w="22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Gmail (envoi)</w:t>
            </w:r>
          </w:p>
        </w:tc>
        <w:tc>
          <w:tcPr>
            <w:tcW w:type="dxa" w:w="18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Serveur</w:t>
            </w:r>
          </w:p>
        </w:tc>
        <w:tc>
          <w:tcPr>
            <w:tcW w:type="dxa" w:w="26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Au nom de l’organisation</w:t>
            </w:r>
          </w:p>
        </w:tc>
      </w:tr>
      <w:tr>
        <w:tc>
          <w:tcPr>
            <w:tcW w:type="dxa" w:w="2400"/>
            <w:tcMar>
              <w:top w:type="dxa" w:w="80"/>
              <w:left w:type="dxa" w:w="110"/>
              <w:bottom w:type="dxa" w:w="80"/>
              <w:right w:type="dxa" w:w="110"/>
            </w:tcMar>
          </w:tcPr>
          <w:p>
            <w:pPr>
              <w:spacing w:after="0" w:line="260"/>
            </w:pPr>
            <w:r>
              <w:rPr>
                <w:rFonts w:ascii="Calibri" w:cs="Calibri" w:eastAsia="Calibri" w:hAnsi="Calibri"/>
                <w:sz w:val="19"/>
                <w:szCs w:val="19"/>
              </w:rPr>
              <w:t xml:space="preserve">Rappels d’échéance</w:t>
            </w:r>
          </w:p>
        </w:tc>
        <w:tc>
          <w:tcPr>
            <w:tcW w:type="dxa" w:w="2200"/>
            <w:tcMar>
              <w:top w:type="dxa" w:w="80"/>
              <w:left w:type="dxa" w:w="110"/>
              <w:bottom w:type="dxa" w:w="80"/>
              <w:right w:type="dxa" w:w="110"/>
            </w:tcMar>
          </w:tcPr>
          <w:p>
            <w:pPr>
              <w:spacing w:after="0" w:line="260"/>
            </w:pPr>
            <w:r>
              <w:rPr>
                <w:rFonts w:ascii="Calibri" w:cs="Calibri" w:eastAsia="Calibri" w:hAnsi="Calibri"/>
                <w:sz w:val="19"/>
                <w:szCs w:val="19"/>
              </w:rPr>
              <w:t xml:space="preserve">Calendar</w:t>
            </w:r>
          </w:p>
        </w:tc>
        <w:tc>
          <w:tcPr>
            <w:tcW w:type="dxa" w:w="1800"/>
            <w:tcMar>
              <w:top w:type="dxa" w:w="80"/>
              <w:left w:type="dxa" w:w="110"/>
              <w:bottom w:type="dxa" w:w="80"/>
              <w:right w:type="dxa" w:w="110"/>
            </w:tcMar>
          </w:tcPr>
          <w:p>
            <w:pPr>
              <w:spacing w:after="0" w:line="260"/>
            </w:pPr>
            <w:r>
              <w:rPr>
                <w:rFonts w:ascii="Calibri" w:cs="Calibri" w:eastAsia="Calibri" w:hAnsi="Calibri"/>
                <w:sz w:val="19"/>
                <w:szCs w:val="19"/>
              </w:rPr>
              <w:t xml:space="preserve">Serveur</w:t>
            </w:r>
          </w:p>
        </w:tc>
        <w:tc>
          <w:tcPr>
            <w:tcW w:type="dxa" w:w="2600"/>
            <w:tcMar>
              <w:top w:type="dxa" w:w="80"/>
              <w:left w:type="dxa" w:w="110"/>
              <w:bottom w:type="dxa" w:w="80"/>
              <w:right w:type="dxa" w:w="110"/>
            </w:tcMar>
          </w:tcPr>
          <w:p>
            <w:pPr>
              <w:spacing w:after="0" w:line="260"/>
            </w:pPr>
            <w:r>
              <w:rPr>
                <w:rFonts w:ascii="Calibri" w:cs="Calibri" w:eastAsia="Calibri" w:hAnsi="Calibri"/>
                <w:sz w:val="19"/>
                <w:szCs w:val="19"/>
              </w:rPr>
              <w:t xml:space="preserve">Création d’événements</w:t>
            </w:r>
          </w:p>
        </w:tc>
      </w:tr>
    </w:tbl>
    <w:p>
      <w:pPr>
        <w:spacing w:after="120"/>
      </w:pPr>
    </w:p>
    <w:p>
      <w:pPr>
        <w:spacing w:after="120" w:line="276"/>
      </w:pPr>
      <w:r>
        <w:rPr>
          <w:rFonts w:ascii="Calibri" w:cs="Calibri" w:eastAsia="Calibri" w:hAnsi="Calibri"/>
          <w:sz w:val="21"/>
          <w:szCs w:val="21"/>
        </w:rPr>
        <w:t xml:space="preserve">L’application n’héberge pas de fichiers : elle conserve les références (identifiant et lien) et délègue le stockage à l’espace documentaire partagé.</w:t>
      </w:r>
    </w:p>
    <w:p>
      <w:pPr>
        <w:pStyle w:val="Heading1"/>
        <w:spacing w:after="160" w:before="320"/>
      </w:pPr>
      <w:r>
        <w:t xml:space="preserve">9. Sécurité, conformité et traçabilité</w:t>
      </w:r>
    </w:p>
    <w:tbl>
      <w:tblPr>
        <w:tblW w:type="dxa" w:w="9000"/>
        <w:tblBorders>
          <w:top w:val="single" w:color="D9D2CA" w:sz="4"/>
          <w:left w:val="single" w:color="D9D2CA" w:sz="4"/>
          <w:bottom w:val="single" w:color="D9D2CA" w:sz="4"/>
          <w:right w:val="single" w:color="D9D2CA" w:sz="4"/>
          <w:insideH w:val="single" w:color="D9D2CA" w:sz="4"/>
          <w:insideV w:val="single" w:color="D9D2CA" w:sz="4"/>
        </w:tblBorders>
      </w:tblPr>
      <w:tblGrid>
        <w:gridCol w:w="1100"/>
        <w:gridCol w:w="6400"/>
        <w:gridCol w:w="1500"/>
      </w:tblGrid>
      <w:tr>
        <w:trPr>
          <w:tblHeader/>
        </w:trPr>
        <w:tc>
          <w:tcPr>
            <w:tcW w:type="dxa" w:w="11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Réf.</w:t>
            </w:r>
          </w:p>
        </w:tc>
        <w:tc>
          <w:tcPr>
            <w:tcW w:type="dxa" w:w="64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Exigence</w:t>
            </w:r>
          </w:p>
        </w:tc>
        <w:tc>
          <w:tcPr>
            <w:tcW w:type="dxa" w:w="15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Priorité</w:t>
            </w:r>
          </w:p>
        </w:tc>
      </w:tr>
      <w:tr>
        <w:tc>
          <w:tcPr>
            <w:tcW w:type="dxa" w:w="1100"/>
            <w:tcMar>
              <w:top w:type="dxa" w:w="80"/>
              <w:left w:type="dxa" w:w="110"/>
              <w:bottom w:type="dxa" w:w="80"/>
              <w:right w:type="dxa" w:w="110"/>
            </w:tcMar>
          </w:tcPr>
          <w:p>
            <w:pPr>
              <w:spacing w:after="0" w:line="260"/>
            </w:pPr>
            <w:r>
              <w:rPr>
                <w:rFonts w:ascii="Calibri" w:cs="Calibri" w:eastAsia="Calibri" w:hAnsi="Calibri"/>
                <w:sz w:val="19"/>
                <w:szCs w:val="19"/>
              </w:rPr>
              <w:t xml:space="preserve">ES-10</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Règles de sécurité côté serveur pour chaque collection ; refus par défaut de tout accès non explicitement autorisé.</w:t>
            </w:r>
          </w:p>
        </w:tc>
        <w:tc>
          <w:tcPr>
            <w:tcW w:type="dxa" w:w="1500"/>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ES-11</w:t>
            </w:r>
          </w:p>
        </w:tc>
        <w:tc>
          <w:tcPr>
            <w:tcW w:type="dxa" w:w="6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Journal d’audit en ajout seul, horodaté, consignant chaque validation et chaque décaissement.</w:t>
            </w:r>
          </w:p>
        </w:tc>
        <w:tc>
          <w:tcPr>
            <w:tcW w:type="dxa" w:w="15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tcMar>
              <w:top w:type="dxa" w:w="80"/>
              <w:left w:type="dxa" w:w="110"/>
              <w:bottom w:type="dxa" w:w="80"/>
              <w:right w:type="dxa" w:w="110"/>
            </w:tcMar>
          </w:tcPr>
          <w:p>
            <w:pPr>
              <w:spacing w:after="0" w:line="260"/>
            </w:pPr>
            <w:r>
              <w:rPr>
                <w:rFonts w:ascii="Calibri" w:cs="Calibri" w:eastAsia="Calibri" w:hAnsi="Calibri"/>
                <w:sz w:val="19"/>
                <w:szCs w:val="19"/>
              </w:rPr>
              <w:t xml:space="preserve">ES-12</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Lecture du journal d’audit réservée à la direction et à l’administration.</w:t>
            </w:r>
          </w:p>
        </w:tc>
        <w:tc>
          <w:tcPr>
            <w:tcW w:type="dxa" w:w="1500"/>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ES-13</w:t>
            </w:r>
          </w:p>
        </w:tc>
        <w:tc>
          <w:tcPr>
            <w:tcW w:type="dxa" w:w="6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Principe de moindre privilège appliqué aux comptes de service et aux portées d’accès.</w:t>
            </w:r>
          </w:p>
        </w:tc>
        <w:tc>
          <w:tcPr>
            <w:tcW w:type="dxa" w:w="15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tcMar>
              <w:top w:type="dxa" w:w="80"/>
              <w:left w:type="dxa" w:w="110"/>
              <w:bottom w:type="dxa" w:w="80"/>
              <w:right w:type="dxa" w:w="110"/>
            </w:tcMar>
          </w:tcPr>
          <w:p>
            <w:pPr>
              <w:spacing w:after="0" w:line="260"/>
            </w:pPr>
            <w:r>
              <w:rPr>
                <w:rFonts w:ascii="Calibri" w:cs="Calibri" w:eastAsia="Calibri" w:hAnsi="Calibri"/>
                <w:sz w:val="19"/>
                <w:szCs w:val="19"/>
              </w:rPr>
              <w:t xml:space="preserve">ES-14</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Traitement des données personnelles conforme à la réglementation sénégalaise (CDP, loi 2008-12) ; finalités déclarées.</w:t>
            </w:r>
          </w:p>
        </w:tc>
        <w:tc>
          <w:tcPr>
            <w:tcW w:type="dxa" w:w="1500"/>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ES-15</w:t>
            </w:r>
          </w:p>
        </w:tc>
        <w:tc>
          <w:tcPr>
            <w:tcW w:type="dxa" w:w="6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Choix explicite de la région d’hébergement des données et formalisation des transferts.</w:t>
            </w:r>
          </w:p>
        </w:tc>
        <w:tc>
          <w:tcPr>
            <w:tcW w:type="dxa" w:w="15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Important</w:t>
            </w:r>
          </w:p>
        </w:tc>
      </w:tr>
      <w:tr>
        <w:tc>
          <w:tcPr>
            <w:tcW w:type="dxa" w:w="1100"/>
            <w:tcMar>
              <w:top w:type="dxa" w:w="80"/>
              <w:left w:type="dxa" w:w="110"/>
              <w:bottom w:type="dxa" w:w="80"/>
              <w:right w:type="dxa" w:w="110"/>
            </w:tcMar>
          </w:tcPr>
          <w:p>
            <w:pPr>
              <w:spacing w:after="0" w:line="260"/>
            </w:pPr>
            <w:r>
              <w:rPr>
                <w:rFonts w:ascii="Calibri" w:cs="Calibri" w:eastAsia="Calibri" w:hAnsi="Calibri"/>
                <w:sz w:val="19"/>
                <w:szCs w:val="19"/>
              </w:rPr>
              <w:t xml:space="preserve">ES-16</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Sauvegarde régulière des données et procédure de restauration testée.</w:t>
            </w:r>
          </w:p>
        </w:tc>
        <w:tc>
          <w:tcPr>
            <w:tcW w:type="dxa" w:w="1500"/>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bl>
    <w:p>
      <w:pPr>
        <w:pStyle w:val="Heading1"/>
        <w:spacing w:after="160" w:before="320"/>
      </w:pPr>
      <w:r>
        <w:t xml:space="preserve">10. Hébergement, déploiement et exploitation</w:t>
      </w:r>
    </w:p>
    <w:p>
      <w:pPr>
        <w:pStyle w:val="Heading2"/>
        <w:spacing w:after="120" w:before="240"/>
      </w:pPr>
      <w:r>
        <w:t xml:space="preserve">10.1 Hébergement du front</w:t>
      </w:r>
    </w:p>
    <w:p>
      <w:pPr>
        <w:spacing w:after="120" w:line="276"/>
      </w:pPr>
      <w:r>
        <w:rPr>
          <w:rFonts w:ascii="Calibri" w:cs="Calibri" w:eastAsia="Calibri" w:hAnsi="Calibri"/>
          <w:sz w:val="21"/>
          <w:szCs w:val="21"/>
        </w:rPr>
        <w:t xml:space="preserve">Le front est servi depuis un serveur maîtrisé par le CRADESC, derrière un reverse-proxy assurant la terminaison TLS et le routage par nom de domaine. Il est distribué sous forme de conteneur, reconstructible à l’identique.</w:t>
      </w:r>
    </w:p>
    <w:tbl>
      <w:tblPr>
        <w:tblW w:type="dxa" w:w="9000"/>
        <w:tblBorders>
          <w:top w:val="single" w:color="D9D2CA" w:sz="4"/>
          <w:left w:val="single" w:color="D9D2CA" w:sz="4"/>
          <w:bottom w:val="single" w:color="D9D2CA" w:sz="4"/>
          <w:right w:val="single" w:color="D9D2CA" w:sz="4"/>
          <w:insideH w:val="single" w:color="D9D2CA" w:sz="4"/>
          <w:insideV w:val="single" w:color="D9D2CA" w:sz="4"/>
        </w:tblBorders>
      </w:tblPr>
      <w:tblGrid>
        <w:gridCol w:w="1100"/>
        <w:gridCol w:w="6400"/>
        <w:gridCol w:w="1500"/>
      </w:tblGrid>
      <w:tr>
        <w:trPr>
          <w:tblHeader/>
        </w:trPr>
        <w:tc>
          <w:tcPr>
            <w:tcW w:type="dxa" w:w="11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Réf.</w:t>
            </w:r>
          </w:p>
        </w:tc>
        <w:tc>
          <w:tcPr>
            <w:tcW w:type="dxa" w:w="64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Exigence</w:t>
            </w:r>
          </w:p>
        </w:tc>
        <w:tc>
          <w:tcPr>
            <w:tcW w:type="dxa" w:w="15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Priorité</w:t>
            </w:r>
          </w:p>
        </w:tc>
      </w:tr>
      <w:tr>
        <w:tc>
          <w:tcPr>
            <w:tcW w:type="dxa" w:w="1100"/>
            <w:tcMar>
              <w:top w:type="dxa" w:w="80"/>
              <w:left w:type="dxa" w:w="110"/>
              <w:bottom w:type="dxa" w:w="80"/>
              <w:right w:type="dxa" w:w="110"/>
            </w:tcMar>
          </w:tcPr>
          <w:p>
            <w:pPr>
              <w:spacing w:after="0" w:line="260"/>
            </w:pPr>
            <w:r>
              <w:rPr>
                <w:rFonts w:ascii="Calibri" w:cs="Calibri" w:eastAsia="Calibri" w:hAnsi="Calibri"/>
                <w:sz w:val="19"/>
                <w:szCs w:val="19"/>
              </w:rPr>
              <w:t xml:space="preserve">EX-01</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Déploiement par conteneur, reproductible à partir du dépôt de code.</w:t>
            </w:r>
          </w:p>
        </w:tc>
        <w:tc>
          <w:tcPr>
            <w:tcW w:type="dxa" w:w="1500"/>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EX-02</w:t>
            </w:r>
          </w:p>
        </w:tc>
        <w:tc>
          <w:tcPr>
            <w:tcW w:type="dxa" w:w="6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Accès en HTTPS avec certificat valide et renouvellement automatique.</w:t>
            </w:r>
          </w:p>
        </w:tc>
        <w:tc>
          <w:tcPr>
            <w:tcW w:type="dxa" w:w="15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tcMar>
              <w:top w:type="dxa" w:w="80"/>
              <w:left w:type="dxa" w:w="110"/>
              <w:bottom w:type="dxa" w:w="80"/>
              <w:right w:type="dxa" w:w="110"/>
            </w:tcMar>
          </w:tcPr>
          <w:p>
            <w:pPr>
              <w:spacing w:after="0" w:line="260"/>
            </w:pPr>
            <w:r>
              <w:rPr>
                <w:rFonts w:ascii="Calibri" w:cs="Calibri" w:eastAsia="Calibri" w:hAnsi="Calibri"/>
                <w:sz w:val="19"/>
                <w:szCs w:val="19"/>
              </w:rPr>
              <w:t xml:space="preserve">EX-03</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Nom de domaine dédié à l’intranet.</w:t>
            </w:r>
          </w:p>
        </w:tc>
        <w:tc>
          <w:tcPr>
            <w:tcW w:type="dxa" w:w="1500"/>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EX-04</w:t>
            </w:r>
          </w:p>
        </w:tc>
        <w:tc>
          <w:tcPr>
            <w:tcW w:type="dxa" w:w="6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Procédure de mise à jour documentée et exécutable en une commande.</w:t>
            </w:r>
          </w:p>
        </w:tc>
        <w:tc>
          <w:tcPr>
            <w:tcW w:type="dxa" w:w="15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Indispensable</w:t>
            </w:r>
          </w:p>
        </w:tc>
      </w:tr>
      <w:tr>
        <w:tc>
          <w:tcPr>
            <w:tcW w:type="dxa" w:w="1100"/>
            <w:tcMar>
              <w:top w:type="dxa" w:w="80"/>
              <w:left w:type="dxa" w:w="110"/>
              <w:bottom w:type="dxa" w:w="80"/>
              <w:right w:type="dxa" w:w="110"/>
            </w:tcMar>
          </w:tcPr>
          <w:p>
            <w:pPr>
              <w:spacing w:after="0" w:line="260"/>
            </w:pPr>
            <w:r>
              <w:rPr>
                <w:rFonts w:ascii="Calibri" w:cs="Calibri" w:eastAsia="Calibri" w:hAnsi="Calibri"/>
                <w:sz w:val="19"/>
                <w:szCs w:val="19"/>
              </w:rPr>
              <w:t xml:space="preserve">EX-05</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Retour arrière possible vers la version précédente.</w:t>
            </w:r>
          </w:p>
        </w:tc>
        <w:tc>
          <w:tcPr>
            <w:tcW w:type="dxa" w:w="1500"/>
            <w:tcMar>
              <w:top w:type="dxa" w:w="80"/>
              <w:left w:type="dxa" w:w="110"/>
              <w:bottom w:type="dxa" w:w="80"/>
              <w:right w:type="dxa" w:w="110"/>
            </w:tcMar>
          </w:tcPr>
          <w:p>
            <w:pPr>
              <w:spacing w:after="0" w:line="260"/>
            </w:pPr>
            <w:r>
              <w:rPr>
                <w:rFonts w:ascii="Calibri" w:cs="Calibri" w:eastAsia="Calibri" w:hAnsi="Calibri"/>
                <w:sz w:val="19"/>
                <w:szCs w:val="19"/>
              </w:rPr>
              <w:t xml:space="preserve">Important</w:t>
            </w:r>
          </w:p>
        </w:tc>
      </w:tr>
    </w:tbl>
    <w:p>
      <w:pPr>
        <w:pStyle w:val="Heading2"/>
        <w:spacing w:after="120" w:before="240"/>
      </w:pPr>
      <w:r>
        <w:t xml:space="preserve">10.2 Environnements</w:t>
      </w:r>
    </w:p>
    <w:tbl>
      <w:tblPr>
        <w:tblW w:type="dxa" w:w="9000"/>
        <w:tblBorders>
          <w:top w:val="single" w:color="D9D2CA" w:sz="4"/>
          <w:left w:val="single" w:color="D9D2CA" w:sz="4"/>
          <w:bottom w:val="single" w:color="D9D2CA" w:sz="4"/>
          <w:right w:val="single" w:color="D9D2CA" w:sz="4"/>
          <w:insideH w:val="single" w:color="D9D2CA" w:sz="4"/>
          <w:insideV w:val="single" w:color="D9D2CA" w:sz="4"/>
        </w:tblBorders>
      </w:tblPr>
      <w:tblGrid>
        <w:gridCol w:w="2600"/>
        <w:gridCol w:w="6400"/>
      </w:tblGrid>
      <w:tr>
        <w:trPr>
          <w:tblHeader/>
        </w:trPr>
        <w:tc>
          <w:tcPr>
            <w:tcW w:type="dxa" w:w="26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Environnement</w:t>
            </w:r>
          </w:p>
        </w:tc>
        <w:tc>
          <w:tcPr>
            <w:tcW w:type="dxa" w:w="64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Usage</w:t>
            </w:r>
          </w:p>
        </w:tc>
      </w:tr>
      <w:tr>
        <w:tc>
          <w:tcPr>
            <w:tcW w:type="dxa" w:w="2600"/>
            <w:tcMar>
              <w:top w:type="dxa" w:w="80"/>
              <w:left w:type="dxa" w:w="110"/>
              <w:bottom w:type="dxa" w:w="80"/>
              <w:right w:type="dxa" w:w="110"/>
            </w:tcMar>
          </w:tcPr>
          <w:p>
            <w:pPr>
              <w:spacing w:after="0" w:line="260"/>
            </w:pPr>
            <w:r>
              <w:rPr>
                <w:rFonts w:ascii="Calibri" w:cs="Calibri" w:eastAsia="Calibri" w:hAnsi="Calibri"/>
                <w:sz w:val="19"/>
                <w:szCs w:val="19"/>
              </w:rPr>
              <w:t xml:space="preserve">Local / émulateur</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Développement et tests avant toute mise en ligne.</w:t>
            </w:r>
          </w:p>
        </w:tc>
      </w:tr>
      <w:tr>
        <w:tc>
          <w:tcPr>
            <w:tcW w:type="dxa" w:w="26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Recette</w:t>
            </w:r>
          </w:p>
        </w:tc>
        <w:tc>
          <w:tcPr>
            <w:tcW w:type="dxa" w:w="6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Validation fonctionnelle par le CRADESC avant production.</w:t>
            </w:r>
          </w:p>
        </w:tc>
      </w:tr>
      <w:tr>
        <w:tc>
          <w:tcPr>
            <w:tcW w:type="dxa" w:w="2600"/>
            <w:tcMar>
              <w:top w:type="dxa" w:w="80"/>
              <w:left w:type="dxa" w:w="110"/>
              <w:bottom w:type="dxa" w:w="80"/>
              <w:right w:type="dxa" w:w="110"/>
            </w:tcMar>
          </w:tcPr>
          <w:p>
            <w:pPr>
              <w:spacing w:after="0" w:line="260"/>
            </w:pPr>
            <w:r>
              <w:rPr>
                <w:rFonts w:ascii="Calibri" w:cs="Calibri" w:eastAsia="Calibri" w:hAnsi="Calibri"/>
                <w:sz w:val="19"/>
                <w:szCs w:val="19"/>
              </w:rPr>
              <w:t xml:space="preserve">Production</w:t>
            </w:r>
          </w:p>
        </w:tc>
        <w:tc>
          <w:tcPr>
            <w:tcW w:type="dxa" w:w="6400"/>
            <w:tcMar>
              <w:top w:type="dxa" w:w="80"/>
              <w:left w:type="dxa" w:w="110"/>
              <w:bottom w:type="dxa" w:w="80"/>
              <w:right w:type="dxa" w:w="110"/>
            </w:tcMar>
          </w:tcPr>
          <w:p>
            <w:pPr>
              <w:spacing w:after="0" w:line="260"/>
            </w:pPr>
            <w:r>
              <w:rPr>
                <w:rFonts w:ascii="Calibri" w:cs="Calibri" w:eastAsia="Calibri" w:hAnsi="Calibri"/>
                <w:sz w:val="19"/>
                <w:szCs w:val="19"/>
              </w:rPr>
              <w:t xml:space="preserve">Service aux utilisateurs, données réelles.</w:t>
            </w:r>
          </w:p>
        </w:tc>
      </w:tr>
    </w:tbl>
    <w:p>
      <w:pPr>
        <w:pStyle w:val="Heading2"/>
        <w:spacing w:after="120" w:before="240"/>
      </w:pPr>
      <w:r>
        <w:t xml:space="preserve">10.3 Maintenance</w:t>
      </w:r>
    </w:p>
    <w:p>
      <w:pPr>
        <w:pStyle w:val="ListParagraph"/>
        <w:numPr>
          <w:ilvl w:val="0"/>
          <w:numId w:val="2"/>
        </w:numPr>
        <w:spacing w:after="80" w:line="276"/>
      </w:pPr>
      <w:r>
        <w:rPr>
          <w:rFonts w:ascii="Calibri" w:cs="Calibri" w:eastAsia="Calibri" w:hAnsi="Calibri"/>
          <w:sz w:val="21"/>
          <w:szCs w:val="21"/>
        </w:rPr>
        <w:t xml:space="preserve">Garantie de bon fonctionnement (correction des anomalies) : trois mois après la recette.</w:t>
      </w:r>
    </w:p>
    <w:p>
      <w:pPr>
        <w:pStyle w:val="ListParagraph"/>
        <w:numPr>
          <w:ilvl w:val="0"/>
          <w:numId w:val="2"/>
        </w:numPr>
        <w:spacing w:after="80" w:line="276"/>
      </w:pPr>
      <w:r>
        <w:rPr>
          <w:rFonts w:ascii="Calibri" w:cs="Calibri" w:eastAsia="Calibri" w:hAnsi="Calibri"/>
          <w:sz w:val="21"/>
          <w:szCs w:val="21"/>
        </w:rPr>
        <w:t xml:space="preserve">Maintenance corrective et évolutive : selon contrat séparé.</w:t>
      </w:r>
    </w:p>
    <w:p>
      <w:pPr>
        <w:pStyle w:val="ListParagraph"/>
        <w:numPr>
          <w:ilvl w:val="0"/>
          <w:numId w:val="2"/>
        </w:numPr>
        <w:spacing w:after="80" w:line="276"/>
      </w:pPr>
      <w:r>
        <w:rPr>
          <w:rFonts w:ascii="Calibri" w:cs="Calibri" w:eastAsia="Calibri" w:hAnsi="Calibri"/>
          <w:sz w:val="21"/>
          <w:szCs w:val="21"/>
        </w:rPr>
        <w:t xml:space="preserve">Transfert de compétences à l’équipe technique du CRADESC et remise de la documentation d’exploitation.</w:t>
      </w:r>
    </w:p>
    <w:p>
      <w:pPr>
        <w:pStyle w:val="Heading1"/>
        <w:spacing w:after="160" w:before="320"/>
      </w:pPr>
      <w:r>
        <w:t xml:space="preserve">11. Livrables attendus</w:t>
      </w:r>
    </w:p>
    <w:tbl>
      <w:tblPr>
        <w:tblW w:type="dxa" w:w="9000"/>
        <w:tblBorders>
          <w:top w:val="single" w:color="D9D2CA" w:sz="4"/>
          <w:left w:val="single" w:color="D9D2CA" w:sz="4"/>
          <w:bottom w:val="single" w:color="D9D2CA" w:sz="4"/>
          <w:right w:val="single" w:color="D9D2CA" w:sz="4"/>
          <w:insideH w:val="single" w:color="D9D2CA" w:sz="4"/>
          <w:insideV w:val="single" w:color="D9D2CA" w:sz="4"/>
        </w:tblBorders>
      </w:tblPr>
      <w:tblGrid>
        <w:gridCol w:w="3000"/>
        <w:gridCol w:w="6000"/>
      </w:tblGrid>
      <w:tr>
        <w:trPr>
          <w:tblHeader/>
        </w:trPr>
        <w:tc>
          <w:tcPr>
            <w:tcW w:type="dxa" w:w="30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Livrable</w:t>
            </w:r>
          </w:p>
        </w:tc>
        <w:tc>
          <w:tcPr>
            <w:tcW w:type="dxa" w:w="60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Contenu</w:t>
            </w:r>
          </w:p>
        </w:tc>
      </w:tr>
      <w:tr>
        <w:tc>
          <w:tcPr>
            <w:tcW w:type="dxa" w:w="3000"/>
            <w:tcMar>
              <w:top w:type="dxa" w:w="80"/>
              <w:left w:type="dxa" w:w="110"/>
              <w:bottom w:type="dxa" w:w="80"/>
              <w:right w:type="dxa" w:w="110"/>
            </w:tcMar>
          </w:tcPr>
          <w:p>
            <w:pPr>
              <w:spacing w:after="0" w:line="260"/>
            </w:pPr>
            <w:r>
              <w:rPr>
                <w:rFonts w:ascii="Calibri" w:cs="Calibri" w:eastAsia="Calibri" w:hAnsi="Calibri"/>
                <w:sz w:val="19"/>
                <w:szCs w:val="19"/>
              </w:rPr>
              <w:t xml:space="preserve">Code source</w:t>
            </w:r>
          </w:p>
        </w:tc>
        <w:tc>
          <w:tcPr>
            <w:tcW w:type="dxa" w:w="6000"/>
            <w:tcMar>
              <w:top w:type="dxa" w:w="80"/>
              <w:left w:type="dxa" w:w="110"/>
              <w:bottom w:type="dxa" w:w="80"/>
              <w:right w:type="dxa" w:w="110"/>
            </w:tcMar>
          </w:tcPr>
          <w:p>
            <w:pPr>
              <w:spacing w:after="0" w:line="260"/>
            </w:pPr>
            <w:r>
              <w:rPr>
                <w:rFonts w:ascii="Calibri" w:cs="Calibri" w:eastAsia="Calibri" w:hAnsi="Calibri"/>
                <w:sz w:val="19"/>
                <w:szCs w:val="19"/>
              </w:rPr>
              <w:t xml:space="preserve">Dépôt versionné complet : front, fonctions serveur, règles, index, configuration.</w:t>
            </w:r>
          </w:p>
        </w:tc>
      </w:tr>
      <w:tr>
        <w:tc>
          <w:tcPr>
            <w:tcW w:type="dxa" w:w="30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Application déployée</w:t>
            </w:r>
          </w:p>
        </w:tc>
        <w:tc>
          <w:tcPr>
            <w:tcW w:type="dxa" w:w="60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Intranet accessible en HTTPS sur le domaine du CRADESC.</w:t>
            </w:r>
          </w:p>
        </w:tc>
      </w:tr>
      <w:tr>
        <w:tc>
          <w:tcPr>
            <w:tcW w:type="dxa" w:w="3000"/>
            <w:tcMar>
              <w:top w:type="dxa" w:w="80"/>
              <w:left w:type="dxa" w:w="110"/>
              <w:bottom w:type="dxa" w:w="80"/>
              <w:right w:type="dxa" w:w="110"/>
            </w:tcMar>
          </w:tcPr>
          <w:p>
            <w:pPr>
              <w:spacing w:after="0" w:line="260"/>
            </w:pPr>
            <w:r>
              <w:rPr>
                <w:rFonts w:ascii="Calibri" w:cs="Calibri" w:eastAsia="Calibri" w:hAnsi="Calibri"/>
                <w:sz w:val="19"/>
                <w:szCs w:val="19"/>
              </w:rPr>
              <w:t xml:space="preserve">Documentation d’installation</w:t>
            </w:r>
          </w:p>
        </w:tc>
        <w:tc>
          <w:tcPr>
            <w:tcW w:type="dxa" w:w="6000"/>
            <w:tcMar>
              <w:top w:type="dxa" w:w="80"/>
              <w:left w:type="dxa" w:w="110"/>
              <w:bottom w:type="dxa" w:w="80"/>
              <w:right w:type="dxa" w:w="110"/>
            </w:tcMar>
          </w:tcPr>
          <w:p>
            <w:pPr>
              <w:spacing w:after="0" w:line="260"/>
            </w:pPr>
            <w:r>
              <w:rPr>
                <w:rFonts w:ascii="Calibri" w:cs="Calibri" w:eastAsia="Calibri" w:hAnsi="Calibri"/>
                <w:sz w:val="19"/>
                <w:szCs w:val="19"/>
              </w:rPr>
              <w:t xml:space="preserve">Création du projet, activation des services, configuration, secrets.</w:t>
            </w:r>
          </w:p>
        </w:tc>
      </w:tr>
      <w:tr>
        <w:tc>
          <w:tcPr>
            <w:tcW w:type="dxa" w:w="30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Documentation de déploiement</w:t>
            </w:r>
          </w:p>
        </w:tc>
        <w:tc>
          <w:tcPr>
            <w:tcW w:type="dxa" w:w="60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Procédure de mise en ligne et de mise à jour, retour arrière.</w:t>
            </w:r>
          </w:p>
        </w:tc>
      </w:tr>
      <w:tr>
        <w:tc>
          <w:tcPr>
            <w:tcW w:type="dxa" w:w="3000"/>
            <w:tcMar>
              <w:top w:type="dxa" w:w="80"/>
              <w:left w:type="dxa" w:w="110"/>
              <w:bottom w:type="dxa" w:w="80"/>
              <w:right w:type="dxa" w:w="110"/>
            </w:tcMar>
          </w:tcPr>
          <w:p>
            <w:pPr>
              <w:spacing w:after="0" w:line="260"/>
            </w:pPr>
            <w:r>
              <w:rPr>
                <w:rFonts w:ascii="Calibri" w:cs="Calibri" w:eastAsia="Calibri" w:hAnsi="Calibri"/>
                <w:sz w:val="19"/>
                <w:szCs w:val="19"/>
              </w:rPr>
              <w:t xml:space="preserve">Documentation d’exploitation</w:t>
            </w:r>
          </w:p>
        </w:tc>
        <w:tc>
          <w:tcPr>
            <w:tcW w:type="dxa" w:w="6000"/>
            <w:tcMar>
              <w:top w:type="dxa" w:w="80"/>
              <w:left w:type="dxa" w:w="110"/>
              <w:bottom w:type="dxa" w:w="80"/>
              <w:right w:type="dxa" w:w="110"/>
            </w:tcMar>
          </w:tcPr>
          <w:p>
            <w:pPr>
              <w:spacing w:after="0" w:line="260"/>
            </w:pPr>
            <w:r>
              <w:rPr>
                <w:rFonts w:ascii="Calibri" w:cs="Calibri" w:eastAsia="Calibri" w:hAnsi="Calibri"/>
                <w:sz w:val="19"/>
                <w:szCs w:val="19"/>
              </w:rPr>
              <w:t xml:space="preserve">Sauvegarde, restauration, supervision, gestion des comptes et des rôles.</w:t>
            </w:r>
          </w:p>
        </w:tc>
      </w:tr>
      <w:tr>
        <w:tc>
          <w:tcPr>
            <w:tcW w:type="dxa" w:w="30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Jeu d’amorçage</w:t>
            </w:r>
          </w:p>
        </w:tc>
        <w:tc>
          <w:tcPr>
            <w:tcW w:type="dxa" w:w="60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Script de création des référentiels et du compte super-administrateur.</w:t>
            </w:r>
          </w:p>
        </w:tc>
      </w:tr>
      <w:tr>
        <w:tc>
          <w:tcPr>
            <w:tcW w:type="dxa" w:w="3000"/>
            <w:tcMar>
              <w:top w:type="dxa" w:w="80"/>
              <w:left w:type="dxa" w:w="110"/>
              <w:bottom w:type="dxa" w:w="80"/>
              <w:right w:type="dxa" w:w="110"/>
            </w:tcMar>
          </w:tcPr>
          <w:p>
            <w:pPr>
              <w:spacing w:after="0" w:line="260"/>
            </w:pPr>
            <w:r>
              <w:rPr>
                <w:rFonts w:ascii="Calibri" w:cs="Calibri" w:eastAsia="Calibri" w:hAnsi="Calibri"/>
                <w:sz w:val="19"/>
                <w:szCs w:val="19"/>
              </w:rPr>
              <w:t xml:space="preserve">Dossier de recette</w:t>
            </w:r>
          </w:p>
        </w:tc>
        <w:tc>
          <w:tcPr>
            <w:tcW w:type="dxa" w:w="6000"/>
            <w:tcMar>
              <w:top w:type="dxa" w:w="80"/>
              <w:left w:type="dxa" w:w="110"/>
              <w:bottom w:type="dxa" w:w="80"/>
              <w:right w:type="dxa" w:w="110"/>
            </w:tcMar>
          </w:tcPr>
          <w:p>
            <w:pPr>
              <w:spacing w:after="0" w:line="260"/>
            </w:pPr>
            <w:r>
              <w:rPr>
                <w:rFonts w:ascii="Calibri" w:cs="Calibri" w:eastAsia="Calibri" w:hAnsi="Calibri"/>
                <w:sz w:val="19"/>
                <w:szCs w:val="19"/>
              </w:rPr>
              <w:t xml:space="preserve">Scénarios de test et procès-verbal de recette.</w:t>
            </w:r>
          </w:p>
        </w:tc>
      </w:tr>
      <w:tr>
        <w:tc>
          <w:tcPr>
            <w:tcW w:type="dxa" w:w="30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Manuel utilisateur</w:t>
            </w:r>
          </w:p>
        </w:tc>
        <w:tc>
          <w:tcPr>
            <w:tcW w:type="dxa" w:w="60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Guide par rôle, en français.</w:t>
            </w:r>
          </w:p>
        </w:tc>
      </w:tr>
    </w:tbl>
    <w:p>
      <w:pPr>
        <w:pStyle w:val="Heading1"/>
        <w:spacing w:after="160" w:before="320"/>
      </w:pPr>
      <w:r>
        <w:t xml:space="preserve">12. Lotissement et calendrier</w:t>
      </w:r>
    </w:p>
    <w:tbl>
      <w:tblPr>
        <w:tblW w:type="dxa" w:w="9000"/>
        <w:tblBorders>
          <w:top w:val="single" w:color="D9D2CA" w:sz="4"/>
          <w:left w:val="single" w:color="D9D2CA" w:sz="4"/>
          <w:bottom w:val="single" w:color="D9D2CA" w:sz="4"/>
          <w:right w:val="single" w:color="D9D2CA" w:sz="4"/>
          <w:insideH w:val="single" w:color="D9D2CA" w:sz="4"/>
          <w:insideV w:val="single" w:color="D9D2CA" w:sz="4"/>
        </w:tblBorders>
      </w:tblPr>
      <w:tblGrid>
        <w:gridCol w:w="2200"/>
        <w:gridCol w:w="4800"/>
        <w:gridCol w:w="2000"/>
      </w:tblGrid>
      <w:tr>
        <w:trPr>
          <w:tblHeader/>
        </w:trPr>
        <w:tc>
          <w:tcPr>
            <w:tcW w:type="dxa" w:w="22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Lot</w:t>
            </w:r>
          </w:p>
        </w:tc>
        <w:tc>
          <w:tcPr>
            <w:tcW w:type="dxa" w:w="48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Contenu</w:t>
            </w:r>
          </w:p>
        </w:tc>
        <w:tc>
          <w:tcPr>
            <w:tcW w:type="dxa" w:w="20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Dépend de</w:t>
            </w:r>
          </w:p>
        </w:tc>
      </w:tr>
      <w:tr>
        <w:tc>
          <w:tcPr>
            <w:tcW w:type="dxa" w:w="2200"/>
            <w:tcMar>
              <w:top w:type="dxa" w:w="80"/>
              <w:left w:type="dxa" w:w="110"/>
              <w:bottom w:type="dxa" w:w="80"/>
              <w:right w:type="dxa" w:w="110"/>
            </w:tcMar>
          </w:tcPr>
          <w:p>
            <w:pPr>
              <w:spacing w:after="0" w:line="260"/>
            </w:pPr>
            <w:r>
              <w:rPr>
                <w:rFonts w:ascii="Calibri" w:cs="Calibri" w:eastAsia="Calibri" w:hAnsi="Calibri"/>
                <w:sz w:val="19"/>
                <w:szCs w:val="19"/>
              </w:rPr>
              <w:t xml:space="preserve">L0 — Socle</w:t>
            </w:r>
          </w:p>
        </w:tc>
        <w:tc>
          <w:tcPr>
            <w:tcW w:type="dxa" w:w="4800"/>
            <w:tcMar>
              <w:top w:type="dxa" w:w="80"/>
              <w:left w:type="dxa" w:w="110"/>
              <w:bottom w:type="dxa" w:w="80"/>
              <w:right w:type="dxa" w:w="110"/>
            </w:tcMar>
          </w:tcPr>
          <w:p>
            <w:pPr>
              <w:spacing w:after="0" w:line="260"/>
            </w:pPr>
            <w:r>
              <w:rPr>
                <w:rFonts w:ascii="Calibri" w:cs="Calibri" w:eastAsia="Calibri" w:hAnsi="Calibri"/>
                <w:sz w:val="19"/>
                <w:szCs w:val="19"/>
              </w:rPr>
              <w:t xml:space="preserve">Projet, authentification, base de données, règles de base, hébergement, intégration continue.</w:t>
            </w:r>
          </w:p>
        </w:tc>
        <w:tc>
          <w:tcPr>
            <w:tcW w:type="dxa" w:w="2000"/>
            <w:tcMar>
              <w:top w:type="dxa" w:w="80"/>
              <w:left w:type="dxa" w:w="110"/>
              <w:bottom w:type="dxa" w:w="80"/>
              <w:right w:type="dxa" w:w="110"/>
            </w:tcMar>
          </w:tcPr>
          <w:p>
            <w:pPr>
              <w:spacing w:after="0" w:line="260"/>
            </w:pPr>
            <w:r>
              <w:rPr>
                <w:rFonts w:ascii="Calibri" w:cs="Calibri" w:eastAsia="Calibri" w:hAnsi="Calibri"/>
                <w:sz w:val="19"/>
                <w:szCs w:val="19"/>
              </w:rPr>
              <w:t xml:space="preserve">—</w:t>
            </w:r>
          </w:p>
        </w:tc>
      </w:tr>
      <w:tr>
        <w:tc>
          <w:tcPr>
            <w:tcW w:type="dxa" w:w="22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L1 — Référentiels et Pilotage</w:t>
            </w:r>
          </w:p>
        </w:tc>
        <w:tc>
          <w:tcPr>
            <w:tcW w:type="dxa" w:w="48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Agents, programmes, projets, activités, tâches, budget.</w:t>
            </w:r>
          </w:p>
        </w:tc>
        <w:tc>
          <w:tcPr>
            <w:tcW w:type="dxa" w:w="20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L0</w:t>
            </w:r>
          </w:p>
        </w:tc>
      </w:tr>
      <w:tr>
        <w:tc>
          <w:tcPr>
            <w:tcW w:type="dxa" w:w="2200"/>
            <w:tcMar>
              <w:top w:type="dxa" w:w="80"/>
              <w:left w:type="dxa" w:w="110"/>
              <w:bottom w:type="dxa" w:w="80"/>
              <w:right w:type="dxa" w:w="110"/>
            </w:tcMar>
          </w:tcPr>
          <w:p>
            <w:pPr>
              <w:spacing w:after="0" w:line="260"/>
            </w:pPr>
            <w:r>
              <w:rPr>
                <w:rFonts w:ascii="Calibri" w:cs="Calibri" w:eastAsia="Calibri" w:hAnsi="Calibri"/>
                <w:sz w:val="19"/>
                <w:szCs w:val="19"/>
              </w:rPr>
              <w:t xml:space="preserve">L2 — Achats (pilote)</w:t>
            </w:r>
          </w:p>
        </w:tc>
        <w:tc>
          <w:tcPr>
            <w:tcW w:type="dxa" w:w="4800"/>
            <w:tcMar>
              <w:top w:type="dxa" w:w="80"/>
              <w:left w:type="dxa" w:w="110"/>
              <w:bottom w:type="dxa" w:w="80"/>
              <w:right w:type="dxa" w:w="110"/>
            </w:tcMar>
          </w:tcPr>
          <w:p>
            <w:pPr>
              <w:spacing w:after="0" w:line="260"/>
            </w:pPr>
            <w:r>
              <w:rPr>
                <w:rFonts w:ascii="Calibri" w:cs="Calibri" w:eastAsia="Calibri" w:hAnsi="Calibri"/>
                <w:sz w:val="19"/>
                <w:szCs w:val="19"/>
              </w:rPr>
              <w:t xml:space="preserve">Circuit complet, engagements, documents, envois, génération PDF.</w:t>
            </w:r>
          </w:p>
        </w:tc>
        <w:tc>
          <w:tcPr>
            <w:tcW w:type="dxa" w:w="2000"/>
            <w:tcMar>
              <w:top w:type="dxa" w:w="80"/>
              <w:left w:type="dxa" w:w="110"/>
              <w:bottom w:type="dxa" w:w="80"/>
              <w:right w:type="dxa" w:w="110"/>
            </w:tcMar>
          </w:tcPr>
          <w:p>
            <w:pPr>
              <w:spacing w:after="0" w:line="260"/>
            </w:pPr>
            <w:r>
              <w:rPr>
                <w:rFonts w:ascii="Calibri" w:cs="Calibri" w:eastAsia="Calibri" w:hAnsi="Calibri"/>
                <w:sz w:val="19"/>
                <w:szCs w:val="19"/>
              </w:rPr>
              <w:t xml:space="preserve">L1</w:t>
            </w:r>
          </w:p>
        </w:tc>
      </w:tr>
      <w:tr>
        <w:tc>
          <w:tcPr>
            <w:tcW w:type="dxa" w:w="22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L3 — Paiements et Missions</w:t>
            </w:r>
          </w:p>
        </w:tc>
        <w:tc>
          <w:tcPr>
            <w:tcW w:type="dxa" w:w="48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Circuits, décaissement, passerelle avance → paiement.</w:t>
            </w:r>
          </w:p>
        </w:tc>
        <w:tc>
          <w:tcPr>
            <w:tcW w:type="dxa" w:w="20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L2</w:t>
            </w:r>
          </w:p>
        </w:tc>
      </w:tr>
      <w:tr>
        <w:tc>
          <w:tcPr>
            <w:tcW w:type="dxa" w:w="2200"/>
            <w:tcMar>
              <w:top w:type="dxa" w:w="80"/>
              <w:left w:type="dxa" w:w="110"/>
              <w:bottom w:type="dxa" w:w="80"/>
              <w:right w:type="dxa" w:w="110"/>
            </w:tcMar>
          </w:tcPr>
          <w:p>
            <w:pPr>
              <w:spacing w:after="0" w:line="260"/>
            </w:pPr>
            <w:r>
              <w:rPr>
                <w:rFonts w:ascii="Calibri" w:cs="Calibri" w:eastAsia="Calibri" w:hAnsi="Calibri"/>
                <w:sz w:val="19"/>
                <w:szCs w:val="19"/>
              </w:rPr>
              <w:t xml:space="preserve">L4 — TdR et Revue</w:t>
            </w:r>
          </w:p>
        </w:tc>
        <w:tc>
          <w:tcPr>
            <w:tcW w:type="dxa" w:w="4800"/>
            <w:tcMar>
              <w:top w:type="dxa" w:w="80"/>
              <w:left w:type="dxa" w:w="110"/>
              <w:bottom w:type="dxa" w:w="80"/>
              <w:right w:type="dxa" w:w="110"/>
            </w:tcMar>
          </w:tcPr>
          <w:p>
            <w:pPr>
              <w:spacing w:after="0" w:line="260"/>
            </w:pPr>
            <w:r>
              <w:rPr>
                <w:rFonts w:ascii="Calibri" w:cs="Calibri" w:eastAsia="Calibri" w:hAnsi="Calibri"/>
                <w:sz w:val="19"/>
                <w:szCs w:val="19"/>
              </w:rPr>
              <w:t xml:space="preserve">Validation, livrables, réunions, décisions, actions.</w:t>
            </w:r>
          </w:p>
        </w:tc>
        <w:tc>
          <w:tcPr>
            <w:tcW w:type="dxa" w:w="2000"/>
            <w:tcMar>
              <w:top w:type="dxa" w:w="80"/>
              <w:left w:type="dxa" w:w="110"/>
              <w:bottom w:type="dxa" w:w="80"/>
              <w:right w:type="dxa" w:w="110"/>
            </w:tcMar>
          </w:tcPr>
          <w:p>
            <w:pPr>
              <w:spacing w:after="0" w:line="260"/>
            </w:pPr>
            <w:r>
              <w:rPr>
                <w:rFonts w:ascii="Calibri" w:cs="Calibri" w:eastAsia="Calibri" w:hAnsi="Calibri"/>
                <w:sz w:val="19"/>
                <w:szCs w:val="19"/>
              </w:rPr>
              <w:t xml:space="preserve">L1</w:t>
            </w:r>
          </w:p>
        </w:tc>
      </w:tr>
      <w:tr>
        <w:tc>
          <w:tcPr>
            <w:tcW w:type="dxa" w:w="22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L5 — Direction</w:t>
            </w:r>
          </w:p>
        </w:tc>
        <w:tc>
          <w:tcPr>
            <w:tcW w:type="dxa" w:w="48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Consolidation et indicateurs (lecture seule).</w:t>
            </w:r>
          </w:p>
        </w:tc>
        <w:tc>
          <w:tcPr>
            <w:tcW w:type="dxa" w:w="20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L2, L3</w:t>
            </w:r>
          </w:p>
        </w:tc>
      </w:tr>
      <w:tr>
        <w:tc>
          <w:tcPr>
            <w:tcW w:type="dxa" w:w="2200"/>
            <w:tcMar>
              <w:top w:type="dxa" w:w="80"/>
              <w:left w:type="dxa" w:w="110"/>
              <w:bottom w:type="dxa" w:w="80"/>
              <w:right w:type="dxa" w:w="110"/>
            </w:tcMar>
          </w:tcPr>
          <w:p>
            <w:pPr>
              <w:spacing w:after="0" w:line="260"/>
            </w:pPr>
            <w:r>
              <w:rPr>
                <w:rFonts w:ascii="Calibri" w:cs="Calibri" w:eastAsia="Calibri" w:hAnsi="Calibri"/>
                <w:sz w:val="19"/>
                <w:szCs w:val="19"/>
              </w:rPr>
              <w:t xml:space="preserve">L6 — Intégrations</w:t>
            </w:r>
          </w:p>
        </w:tc>
        <w:tc>
          <w:tcPr>
            <w:tcW w:type="dxa" w:w="4800"/>
            <w:tcMar>
              <w:top w:type="dxa" w:w="80"/>
              <w:left w:type="dxa" w:w="110"/>
              <w:bottom w:type="dxa" w:w="80"/>
              <w:right w:type="dxa" w:w="110"/>
            </w:tcMar>
          </w:tcPr>
          <w:p>
            <w:pPr>
              <w:spacing w:after="0" w:line="260"/>
            </w:pPr>
            <w:r>
              <w:rPr>
                <w:rFonts w:ascii="Calibri" w:cs="Calibri" w:eastAsia="Calibri" w:hAnsi="Calibri"/>
                <w:sz w:val="19"/>
                <w:szCs w:val="19"/>
              </w:rPr>
              <w:t xml:space="preserve">Aperçus messagerie et agenda, relances planifiées.</w:t>
            </w:r>
          </w:p>
        </w:tc>
        <w:tc>
          <w:tcPr>
            <w:tcW w:type="dxa" w:w="2000"/>
            <w:tcMar>
              <w:top w:type="dxa" w:w="80"/>
              <w:left w:type="dxa" w:w="110"/>
              <w:bottom w:type="dxa" w:w="80"/>
              <w:right w:type="dxa" w:w="110"/>
            </w:tcMar>
          </w:tcPr>
          <w:p>
            <w:pPr>
              <w:spacing w:after="0" w:line="260"/>
            </w:pPr>
            <w:r>
              <w:rPr>
                <w:rFonts w:ascii="Calibri" w:cs="Calibri" w:eastAsia="Calibri" w:hAnsi="Calibri"/>
                <w:sz w:val="19"/>
                <w:szCs w:val="19"/>
              </w:rPr>
              <w:t xml:space="preserve">L3, L4</w:t>
            </w:r>
          </w:p>
        </w:tc>
      </w:tr>
    </w:tbl>
    <w:p>
      <w:pPr>
        <w:spacing w:after="120"/>
      </w:pPr>
    </w:p>
    <w:p>
      <w:pPr>
        <w:spacing w:after="120" w:line="276"/>
      </w:pPr>
      <w:r>
        <w:rPr>
          <w:rFonts w:ascii="Calibri" w:cs="Calibri" w:eastAsia="Calibri" w:hAnsi="Calibri"/>
          <w:i/>
          <w:iCs/>
          <w:sz w:val="21"/>
          <w:szCs w:val="21"/>
        </w:rPr>
        <w:t xml:space="preserve">Le lot Achats sert de gabarit : il mobilise tous les mécanismes (seuils, transaction, engagement budgétaire, document, envoi). Les autres plateformes suivent le même patron.</w:t>
      </w:r>
    </w:p>
    <w:p>
      <w:pPr>
        <w:pStyle w:val="Heading1"/>
        <w:spacing w:after="160" w:before="320"/>
      </w:pPr>
      <w:r>
        <w:t xml:space="preserve">13. Critères de recette</w:t>
      </w:r>
    </w:p>
    <w:p>
      <w:pPr>
        <w:spacing w:after="120" w:line="276"/>
      </w:pPr>
      <w:r>
        <w:rPr>
          <w:rFonts w:ascii="Calibri" w:cs="Calibri" w:eastAsia="Calibri" w:hAnsi="Calibri"/>
          <w:sz w:val="21"/>
          <w:szCs w:val="21"/>
        </w:rPr>
        <w:t xml:space="preserve">La solution est acceptée si l’ensemble des critères suivants est vérifié en environnement de recette, en présence du CRADESC.</w:t>
      </w:r>
    </w:p>
    <w:tbl>
      <w:tblPr>
        <w:tblW w:type="dxa" w:w="9000"/>
        <w:tblBorders>
          <w:top w:val="single" w:color="D9D2CA" w:sz="4"/>
          <w:left w:val="single" w:color="D9D2CA" w:sz="4"/>
          <w:bottom w:val="single" w:color="D9D2CA" w:sz="4"/>
          <w:right w:val="single" w:color="D9D2CA" w:sz="4"/>
          <w:insideH w:val="single" w:color="D9D2CA" w:sz="4"/>
          <w:insideV w:val="single" w:color="D9D2CA" w:sz="4"/>
        </w:tblBorders>
      </w:tblPr>
      <w:tblGrid>
        <w:gridCol w:w="900"/>
        <w:gridCol w:w="5100"/>
        <w:gridCol w:w="3000"/>
      </w:tblGrid>
      <w:tr>
        <w:trPr>
          <w:tblHeader/>
        </w:trPr>
        <w:tc>
          <w:tcPr>
            <w:tcW w:type="dxa" w:w="9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Réf.</w:t>
            </w:r>
          </w:p>
        </w:tc>
        <w:tc>
          <w:tcPr>
            <w:tcW w:type="dxa" w:w="51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Critère de recette</w:t>
            </w:r>
          </w:p>
        </w:tc>
        <w:tc>
          <w:tcPr>
            <w:tcW w:type="dxa" w:w="30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Attendu</w:t>
            </w:r>
          </w:p>
        </w:tc>
      </w:tr>
      <w:tr>
        <w:tc>
          <w:tcPr>
            <w:tcW w:type="dxa" w:w="900"/>
            <w:tcMar>
              <w:top w:type="dxa" w:w="80"/>
              <w:left w:type="dxa" w:w="110"/>
              <w:bottom w:type="dxa" w:w="80"/>
              <w:right w:type="dxa" w:w="110"/>
            </w:tcMar>
          </w:tcPr>
          <w:p>
            <w:pPr>
              <w:spacing w:after="0" w:line="260"/>
            </w:pPr>
            <w:r>
              <w:rPr>
                <w:rFonts w:ascii="Calibri" w:cs="Calibri" w:eastAsia="Calibri" w:hAnsi="Calibri"/>
                <w:sz w:val="19"/>
                <w:szCs w:val="19"/>
              </w:rPr>
              <w:t xml:space="preserve">CR-01</w:t>
            </w:r>
          </w:p>
        </w:tc>
        <w:tc>
          <w:tcPr>
            <w:tcW w:type="dxa" w:w="5100"/>
            <w:tcMar>
              <w:top w:type="dxa" w:w="80"/>
              <w:left w:type="dxa" w:w="110"/>
              <w:bottom w:type="dxa" w:w="80"/>
              <w:right w:type="dxa" w:w="110"/>
            </w:tcMar>
          </w:tcPr>
          <w:p>
            <w:pPr>
              <w:spacing w:after="0" w:line="260"/>
            </w:pPr>
            <w:r>
              <w:rPr>
                <w:rFonts w:ascii="Calibri" w:cs="Calibri" w:eastAsia="Calibri" w:hAnsi="Calibri"/>
                <w:sz w:val="19"/>
                <w:szCs w:val="19"/>
              </w:rPr>
              <w:t xml:space="preserve">Connexion avec un compte autorisé.</w:t>
            </w:r>
          </w:p>
        </w:tc>
        <w:tc>
          <w:tcPr>
            <w:tcW w:type="dxa" w:w="3000"/>
            <w:tcMar>
              <w:top w:type="dxa" w:w="80"/>
              <w:left w:type="dxa" w:w="110"/>
              <w:bottom w:type="dxa" w:w="80"/>
              <w:right w:type="dxa" w:w="110"/>
            </w:tcMar>
          </w:tcPr>
          <w:p>
            <w:pPr>
              <w:spacing w:after="0" w:line="260"/>
            </w:pPr>
            <w:r>
              <w:rPr>
                <w:rFonts w:ascii="Calibri" w:cs="Calibri" w:eastAsia="Calibri" w:hAnsi="Calibri"/>
                <w:sz w:val="19"/>
                <w:szCs w:val="19"/>
              </w:rPr>
              <w:t xml:space="preserve">Accès accordé, rôle correct affiché.</w:t>
            </w:r>
          </w:p>
        </w:tc>
      </w:tr>
      <w:tr>
        <w:tc>
          <w:tcPr>
            <w:tcW w:type="dxa" w:w="9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CR-02</w:t>
            </w:r>
          </w:p>
        </w:tc>
        <w:tc>
          <w:tcPr>
            <w:tcW w:type="dxa" w:w="51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Connexion avec un compte non référencé.</w:t>
            </w:r>
          </w:p>
        </w:tc>
        <w:tc>
          <w:tcPr>
            <w:tcW w:type="dxa" w:w="30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Accès refusé.</w:t>
            </w:r>
          </w:p>
        </w:tc>
      </w:tr>
      <w:tr>
        <w:tc>
          <w:tcPr>
            <w:tcW w:type="dxa" w:w="900"/>
            <w:tcMar>
              <w:top w:type="dxa" w:w="80"/>
              <w:left w:type="dxa" w:w="110"/>
              <w:bottom w:type="dxa" w:w="80"/>
              <w:right w:type="dxa" w:w="110"/>
            </w:tcMar>
          </w:tcPr>
          <w:p>
            <w:pPr>
              <w:spacing w:after="0" w:line="260"/>
            </w:pPr>
            <w:r>
              <w:rPr>
                <w:rFonts w:ascii="Calibri" w:cs="Calibri" w:eastAsia="Calibri" w:hAnsi="Calibri"/>
                <w:sz w:val="19"/>
                <w:szCs w:val="19"/>
              </w:rPr>
              <w:t xml:space="preserve">CR-03</w:t>
            </w:r>
          </w:p>
        </w:tc>
        <w:tc>
          <w:tcPr>
            <w:tcW w:type="dxa" w:w="5100"/>
            <w:tcMar>
              <w:top w:type="dxa" w:w="80"/>
              <w:left w:type="dxa" w:w="110"/>
              <w:bottom w:type="dxa" w:w="80"/>
              <w:right w:type="dxa" w:w="110"/>
            </w:tcMar>
          </w:tcPr>
          <w:p>
            <w:pPr>
              <w:spacing w:after="0" w:line="260"/>
            </w:pPr>
            <w:r>
              <w:rPr>
                <w:rFonts w:ascii="Calibri" w:cs="Calibri" w:eastAsia="Calibri" w:hAnsi="Calibri"/>
                <w:sz w:val="19"/>
                <w:szCs w:val="19"/>
              </w:rPr>
              <w:t xml:space="preserve">Un agent simple ouvre le tableau de bord direction et les demandes de paiement.</w:t>
            </w:r>
          </w:p>
        </w:tc>
        <w:tc>
          <w:tcPr>
            <w:tcW w:type="dxa" w:w="3000"/>
            <w:tcMar>
              <w:top w:type="dxa" w:w="80"/>
              <w:left w:type="dxa" w:w="110"/>
              <w:bottom w:type="dxa" w:w="80"/>
              <w:right w:type="dxa" w:w="110"/>
            </w:tcMar>
          </w:tcPr>
          <w:p>
            <w:pPr>
              <w:spacing w:after="0" w:line="260"/>
            </w:pPr>
            <w:r>
              <w:rPr>
                <w:rFonts w:ascii="Calibri" w:cs="Calibri" w:eastAsia="Calibri" w:hAnsi="Calibri"/>
                <w:sz w:val="19"/>
                <w:szCs w:val="19"/>
              </w:rPr>
              <w:t xml:space="preserve">Les deux sont inaccessibles, y compris en contournant l’interface.</w:t>
            </w:r>
          </w:p>
        </w:tc>
      </w:tr>
      <w:tr>
        <w:tc>
          <w:tcPr>
            <w:tcW w:type="dxa" w:w="9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CR-04</w:t>
            </w:r>
          </w:p>
        </w:tc>
        <w:tc>
          <w:tcPr>
            <w:tcW w:type="dxa" w:w="51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Une réquisition est validée au-delà du seuil du valideur.</w:t>
            </w:r>
          </w:p>
        </w:tc>
        <w:tc>
          <w:tcPr>
            <w:tcW w:type="dxa" w:w="30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Validation refusée avec message explicite.</w:t>
            </w:r>
          </w:p>
        </w:tc>
      </w:tr>
      <w:tr>
        <w:tc>
          <w:tcPr>
            <w:tcW w:type="dxa" w:w="900"/>
            <w:tcMar>
              <w:top w:type="dxa" w:w="80"/>
              <w:left w:type="dxa" w:w="110"/>
              <w:bottom w:type="dxa" w:w="80"/>
              <w:right w:type="dxa" w:w="110"/>
            </w:tcMar>
          </w:tcPr>
          <w:p>
            <w:pPr>
              <w:spacing w:after="0" w:line="260"/>
            </w:pPr>
            <w:r>
              <w:rPr>
                <w:rFonts w:ascii="Calibri" w:cs="Calibri" w:eastAsia="Calibri" w:hAnsi="Calibri"/>
                <w:sz w:val="19"/>
                <w:szCs w:val="19"/>
              </w:rPr>
              <w:t xml:space="preserve">CR-05</w:t>
            </w:r>
          </w:p>
        </w:tc>
        <w:tc>
          <w:tcPr>
            <w:tcW w:type="dxa" w:w="5100"/>
            <w:tcMar>
              <w:top w:type="dxa" w:w="80"/>
              <w:left w:type="dxa" w:w="110"/>
              <w:bottom w:type="dxa" w:w="80"/>
              <w:right w:type="dxa" w:w="110"/>
            </w:tcMar>
          </w:tcPr>
          <w:p>
            <w:pPr>
              <w:spacing w:after="0" w:line="260"/>
            </w:pPr>
            <w:r>
              <w:rPr>
                <w:rFonts w:ascii="Calibri" w:cs="Calibri" w:eastAsia="Calibri" w:hAnsi="Calibri"/>
                <w:sz w:val="19"/>
                <w:szCs w:val="19"/>
              </w:rPr>
              <w:t xml:space="preserve">Une réquisition est validée dans les limites du seuil.</w:t>
            </w:r>
          </w:p>
        </w:tc>
        <w:tc>
          <w:tcPr>
            <w:tcW w:type="dxa" w:w="3000"/>
            <w:tcMar>
              <w:top w:type="dxa" w:w="80"/>
              <w:left w:type="dxa" w:w="110"/>
              <w:bottom w:type="dxa" w:w="80"/>
              <w:right w:type="dxa" w:w="110"/>
            </w:tcMar>
          </w:tcPr>
          <w:p>
            <w:pPr>
              <w:spacing w:after="0" w:line="260"/>
            </w:pPr>
            <w:r>
              <w:rPr>
                <w:rFonts w:ascii="Calibri" w:cs="Calibri" w:eastAsia="Calibri" w:hAnsi="Calibri"/>
                <w:sz w:val="19"/>
                <w:szCs w:val="19"/>
              </w:rPr>
              <w:t xml:space="preserve">Bon de commande émis, document déposé, engagement mis à jour.</w:t>
            </w:r>
          </w:p>
        </w:tc>
      </w:tr>
      <w:tr>
        <w:tc>
          <w:tcPr>
            <w:tcW w:type="dxa" w:w="9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CR-06</w:t>
            </w:r>
          </w:p>
        </w:tc>
        <w:tc>
          <w:tcPr>
            <w:tcW w:type="dxa" w:w="51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Une avance de mission est créée.</w:t>
            </w:r>
          </w:p>
        </w:tc>
        <w:tc>
          <w:tcPr>
            <w:tcW w:type="dxa" w:w="30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Une demande de paiement « mission » est créée automatiquement, une seule fois.</w:t>
            </w:r>
          </w:p>
        </w:tc>
      </w:tr>
      <w:tr>
        <w:tc>
          <w:tcPr>
            <w:tcW w:type="dxa" w:w="900"/>
            <w:tcMar>
              <w:top w:type="dxa" w:w="80"/>
              <w:left w:type="dxa" w:w="110"/>
              <w:bottom w:type="dxa" w:w="80"/>
              <w:right w:type="dxa" w:w="110"/>
            </w:tcMar>
          </w:tcPr>
          <w:p>
            <w:pPr>
              <w:spacing w:after="0" w:line="260"/>
            </w:pPr>
            <w:r>
              <w:rPr>
                <w:rFonts w:ascii="Calibri" w:cs="Calibri" w:eastAsia="Calibri" w:hAnsi="Calibri"/>
                <w:sz w:val="19"/>
                <w:szCs w:val="19"/>
              </w:rPr>
              <w:t xml:space="preserve">CR-07</w:t>
            </w:r>
          </w:p>
        </w:tc>
        <w:tc>
          <w:tcPr>
            <w:tcW w:type="dxa" w:w="5100"/>
            <w:tcMar>
              <w:top w:type="dxa" w:w="80"/>
              <w:left w:type="dxa" w:w="110"/>
              <w:bottom w:type="dxa" w:w="80"/>
              <w:right w:type="dxa" w:w="110"/>
            </w:tcMar>
          </w:tcPr>
          <w:p>
            <w:pPr>
              <w:spacing w:after="0" w:line="260"/>
            </w:pPr>
            <w:r>
              <w:rPr>
                <w:rFonts w:ascii="Calibri" w:cs="Calibri" w:eastAsia="Calibri" w:hAnsi="Calibri"/>
                <w:sz w:val="19"/>
                <w:szCs w:val="19"/>
              </w:rPr>
              <w:t xml:space="preserve">La même avance est soumise deux fois.</w:t>
            </w:r>
          </w:p>
        </w:tc>
        <w:tc>
          <w:tcPr>
            <w:tcW w:type="dxa" w:w="3000"/>
            <w:tcMar>
              <w:top w:type="dxa" w:w="80"/>
              <w:left w:type="dxa" w:w="110"/>
              <w:bottom w:type="dxa" w:w="80"/>
              <w:right w:type="dxa" w:w="110"/>
            </w:tcMar>
          </w:tcPr>
          <w:p>
            <w:pPr>
              <w:spacing w:after="0" w:line="260"/>
            </w:pPr>
            <w:r>
              <w:rPr>
                <w:rFonts w:ascii="Calibri" w:cs="Calibri" w:eastAsia="Calibri" w:hAnsi="Calibri"/>
                <w:sz w:val="19"/>
                <w:szCs w:val="19"/>
              </w:rPr>
              <w:t xml:space="preserve">Aucune demande de paiement en double.</w:t>
            </w:r>
          </w:p>
        </w:tc>
      </w:tr>
      <w:tr>
        <w:tc>
          <w:tcPr>
            <w:tcW w:type="dxa" w:w="9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CR-08</w:t>
            </w:r>
          </w:p>
        </w:tc>
        <w:tc>
          <w:tcPr>
            <w:tcW w:type="dxa" w:w="51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Contrôle du budget après passerelle.</w:t>
            </w:r>
          </w:p>
        </w:tc>
        <w:tc>
          <w:tcPr>
            <w:tcW w:type="dxa" w:w="30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Le montant n’est compté qu’une fois dans l’engagé.</w:t>
            </w:r>
          </w:p>
        </w:tc>
      </w:tr>
      <w:tr>
        <w:tc>
          <w:tcPr>
            <w:tcW w:type="dxa" w:w="900"/>
            <w:tcMar>
              <w:top w:type="dxa" w:w="80"/>
              <w:left w:type="dxa" w:w="110"/>
              <w:bottom w:type="dxa" w:w="80"/>
              <w:right w:type="dxa" w:w="110"/>
            </w:tcMar>
          </w:tcPr>
          <w:p>
            <w:pPr>
              <w:spacing w:after="0" w:line="260"/>
            </w:pPr>
            <w:r>
              <w:rPr>
                <w:rFonts w:ascii="Calibri" w:cs="Calibri" w:eastAsia="Calibri" w:hAnsi="Calibri"/>
                <w:sz w:val="19"/>
                <w:szCs w:val="19"/>
              </w:rPr>
              <w:t xml:space="preserve">CR-09</w:t>
            </w:r>
          </w:p>
        </w:tc>
        <w:tc>
          <w:tcPr>
            <w:tcW w:type="dxa" w:w="5100"/>
            <w:tcMar>
              <w:top w:type="dxa" w:w="80"/>
              <w:left w:type="dxa" w:w="110"/>
              <w:bottom w:type="dxa" w:w="80"/>
              <w:right w:type="dxa" w:w="110"/>
            </w:tcMar>
          </w:tcPr>
          <w:p>
            <w:pPr>
              <w:spacing w:after="0" w:line="260"/>
            </w:pPr>
            <w:r>
              <w:rPr>
                <w:rFonts w:ascii="Calibri" w:cs="Calibri" w:eastAsia="Calibri" w:hAnsi="Calibri"/>
                <w:sz w:val="19"/>
                <w:szCs w:val="19"/>
              </w:rPr>
              <w:t xml:space="preserve">Décaissement supérieur à la disponibilité budgétaire.</w:t>
            </w:r>
          </w:p>
        </w:tc>
        <w:tc>
          <w:tcPr>
            <w:tcW w:type="dxa" w:w="3000"/>
            <w:tcMar>
              <w:top w:type="dxa" w:w="80"/>
              <w:left w:type="dxa" w:w="110"/>
              <w:bottom w:type="dxa" w:w="80"/>
              <w:right w:type="dxa" w:w="110"/>
            </w:tcMar>
          </w:tcPr>
          <w:p>
            <w:pPr>
              <w:spacing w:after="0" w:line="260"/>
            </w:pPr>
            <w:r>
              <w:rPr>
                <w:rFonts w:ascii="Calibri" w:cs="Calibri" w:eastAsia="Calibri" w:hAnsi="Calibri"/>
                <w:sz w:val="19"/>
                <w:szCs w:val="19"/>
              </w:rPr>
              <w:t xml:space="preserve">Opération refusée.</w:t>
            </w:r>
          </w:p>
        </w:tc>
      </w:tr>
      <w:tr>
        <w:tc>
          <w:tcPr>
            <w:tcW w:type="dxa" w:w="9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CR-10</w:t>
            </w:r>
          </w:p>
        </w:tc>
        <w:tc>
          <w:tcPr>
            <w:tcW w:type="dxa" w:w="51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Décaissement par un profil non habilité.</w:t>
            </w:r>
          </w:p>
        </w:tc>
        <w:tc>
          <w:tcPr>
            <w:tcW w:type="dxa" w:w="30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Opération refusée.</w:t>
            </w:r>
          </w:p>
        </w:tc>
      </w:tr>
      <w:tr>
        <w:tc>
          <w:tcPr>
            <w:tcW w:type="dxa" w:w="900"/>
            <w:tcMar>
              <w:top w:type="dxa" w:w="80"/>
              <w:left w:type="dxa" w:w="110"/>
              <w:bottom w:type="dxa" w:w="80"/>
              <w:right w:type="dxa" w:w="110"/>
            </w:tcMar>
          </w:tcPr>
          <w:p>
            <w:pPr>
              <w:spacing w:after="0" w:line="260"/>
            </w:pPr>
            <w:r>
              <w:rPr>
                <w:rFonts w:ascii="Calibri" w:cs="Calibri" w:eastAsia="Calibri" w:hAnsi="Calibri"/>
                <w:sz w:val="19"/>
                <w:szCs w:val="19"/>
              </w:rPr>
              <w:t xml:space="preserve">CR-11</w:t>
            </w:r>
          </w:p>
        </w:tc>
        <w:tc>
          <w:tcPr>
            <w:tcW w:type="dxa" w:w="5100"/>
            <w:tcMar>
              <w:top w:type="dxa" w:w="80"/>
              <w:left w:type="dxa" w:w="110"/>
              <w:bottom w:type="dxa" w:w="80"/>
              <w:right w:type="dxa" w:w="110"/>
            </w:tcMar>
          </w:tcPr>
          <w:p>
            <w:pPr>
              <w:spacing w:after="0" w:line="260"/>
            </w:pPr>
            <w:r>
              <w:rPr>
                <w:rFonts w:ascii="Calibri" w:cs="Calibri" w:eastAsia="Calibri" w:hAnsi="Calibri"/>
                <w:sz w:val="19"/>
                <w:szCs w:val="19"/>
              </w:rPr>
              <w:t xml:space="preserve">Consultation de la disponibilité budgétaire depuis deux plateformes.</w:t>
            </w:r>
          </w:p>
        </w:tc>
        <w:tc>
          <w:tcPr>
            <w:tcW w:type="dxa" w:w="3000"/>
            <w:tcMar>
              <w:top w:type="dxa" w:w="80"/>
              <w:left w:type="dxa" w:w="110"/>
              <w:bottom w:type="dxa" w:w="80"/>
              <w:right w:type="dxa" w:w="110"/>
            </w:tcMar>
          </w:tcPr>
          <w:p>
            <w:pPr>
              <w:spacing w:after="0" w:line="260"/>
            </w:pPr>
            <w:r>
              <w:rPr>
                <w:rFonts w:ascii="Calibri" w:cs="Calibri" w:eastAsia="Calibri" w:hAnsi="Calibri"/>
                <w:sz w:val="19"/>
                <w:szCs w:val="19"/>
              </w:rPr>
              <w:t xml:space="preserve">Valeurs identiques.</w:t>
            </w:r>
          </w:p>
        </w:tc>
      </w:tr>
      <w:tr>
        <w:tc>
          <w:tcPr>
            <w:tcW w:type="dxa" w:w="9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CR-12</w:t>
            </w:r>
          </w:p>
        </w:tc>
        <w:tc>
          <w:tcPr>
            <w:tcW w:type="dxa" w:w="51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Validation et décaissement effectués.</w:t>
            </w:r>
          </w:p>
        </w:tc>
        <w:tc>
          <w:tcPr>
            <w:tcW w:type="dxa" w:w="30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Chaque opération figure dans le journal d’audit, horodatée.</w:t>
            </w:r>
          </w:p>
        </w:tc>
      </w:tr>
      <w:tr>
        <w:tc>
          <w:tcPr>
            <w:tcW w:type="dxa" w:w="900"/>
            <w:tcMar>
              <w:top w:type="dxa" w:w="80"/>
              <w:left w:type="dxa" w:w="110"/>
              <w:bottom w:type="dxa" w:w="80"/>
              <w:right w:type="dxa" w:w="110"/>
            </w:tcMar>
          </w:tcPr>
          <w:p>
            <w:pPr>
              <w:spacing w:after="0" w:line="260"/>
            </w:pPr>
            <w:r>
              <w:rPr>
                <w:rFonts w:ascii="Calibri" w:cs="Calibri" w:eastAsia="Calibri" w:hAnsi="Calibri"/>
                <w:sz w:val="19"/>
                <w:szCs w:val="19"/>
              </w:rPr>
              <w:t xml:space="preserve">CR-13</w:t>
            </w:r>
          </w:p>
        </w:tc>
        <w:tc>
          <w:tcPr>
            <w:tcW w:type="dxa" w:w="5100"/>
            <w:tcMar>
              <w:top w:type="dxa" w:w="80"/>
              <w:left w:type="dxa" w:w="110"/>
              <w:bottom w:type="dxa" w:w="80"/>
              <w:right w:type="dxa" w:w="110"/>
            </w:tcMar>
          </w:tcPr>
          <w:p>
            <w:pPr>
              <w:spacing w:after="0" w:line="260"/>
            </w:pPr>
            <w:r>
              <w:rPr>
                <w:rFonts w:ascii="Calibri" w:cs="Calibri" w:eastAsia="Calibri" w:hAnsi="Calibri"/>
                <w:sz w:val="19"/>
                <w:szCs w:val="19"/>
              </w:rPr>
              <w:t xml:space="preserve">Tentative de modification d’une écriture du journal d’audit.</w:t>
            </w:r>
          </w:p>
        </w:tc>
        <w:tc>
          <w:tcPr>
            <w:tcW w:type="dxa" w:w="3000"/>
            <w:tcMar>
              <w:top w:type="dxa" w:w="80"/>
              <w:left w:type="dxa" w:w="110"/>
              <w:bottom w:type="dxa" w:w="80"/>
              <w:right w:type="dxa" w:w="110"/>
            </w:tcMar>
          </w:tcPr>
          <w:p>
            <w:pPr>
              <w:spacing w:after="0" w:line="260"/>
            </w:pPr>
            <w:r>
              <w:rPr>
                <w:rFonts w:ascii="Calibri" w:cs="Calibri" w:eastAsia="Calibri" w:hAnsi="Calibri"/>
                <w:sz w:val="19"/>
                <w:szCs w:val="19"/>
              </w:rPr>
              <w:t xml:space="preserve">Opération refusée.</w:t>
            </w:r>
          </w:p>
        </w:tc>
      </w:tr>
      <w:tr>
        <w:tc>
          <w:tcPr>
            <w:tcW w:type="dxa" w:w="9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CR-14</w:t>
            </w:r>
          </w:p>
        </w:tc>
        <w:tc>
          <w:tcPr>
            <w:tcW w:type="dxa" w:w="51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Aperçus messagerie et agenda sur l’accueil.</w:t>
            </w:r>
          </w:p>
        </w:tc>
        <w:tc>
          <w:tcPr>
            <w:tcW w:type="dxa" w:w="30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Affichés pour l’utilisateur connecté.</w:t>
            </w:r>
          </w:p>
        </w:tc>
      </w:tr>
      <w:tr>
        <w:tc>
          <w:tcPr>
            <w:tcW w:type="dxa" w:w="900"/>
            <w:tcMar>
              <w:top w:type="dxa" w:w="80"/>
              <w:left w:type="dxa" w:w="110"/>
              <w:bottom w:type="dxa" w:w="80"/>
              <w:right w:type="dxa" w:w="110"/>
            </w:tcMar>
          </w:tcPr>
          <w:p>
            <w:pPr>
              <w:spacing w:after="0" w:line="260"/>
            </w:pPr>
            <w:r>
              <w:rPr>
                <w:rFonts w:ascii="Calibri" w:cs="Calibri" w:eastAsia="Calibri" w:hAnsi="Calibri"/>
                <w:sz w:val="19"/>
                <w:szCs w:val="19"/>
              </w:rPr>
              <w:t xml:space="preserve">CR-15</w:t>
            </w:r>
          </w:p>
        </w:tc>
        <w:tc>
          <w:tcPr>
            <w:tcW w:type="dxa" w:w="5100"/>
            <w:tcMar>
              <w:top w:type="dxa" w:w="80"/>
              <w:left w:type="dxa" w:w="110"/>
              <w:bottom w:type="dxa" w:w="80"/>
              <w:right w:type="dxa" w:w="110"/>
            </w:tcMar>
          </w:tcPr>
          <w:p>
            <w:pPr>
              <w:spacing w:after="0" w:line="260"/>
            </w:pPr>
            <w:r>
              <w:rPr>
                <w:rFonts w:ascii="Calibri" w:cs="Calibri" w:eastAsia="Calibri" w:hAnsi="Calibri"/>
                <w:sz w:val="19"/>
                <w:szCs w:val="19"/>
              </w:rPr>
              <w:t xml:space="preserve">Mise à jour de l’application puis rechargement.</w:t>
            </w:r>
          </w:p>
        </w:tc>
        <w:tc>
          <w:tcPr>
            <w:tcW w:type="dxa" w:w="3000"/>
            <w:tcMar>
              <w:top w:type="dxa" w:w="80"/>
              <w:left w:type="dxa" w:w="110"/>
              <w:bottom w:type="dxa" w:w="80"/>
              <w:right w:type="dxa" w:w="110"/>
            </w:tcMar>
          </w:tcPr>
          <w:p>
            <w:pPr>
              <w:spacing w:after="0" w:line="260"/>
            </w:pPr>
            <w:r>
              <w:rPr>
                <w:rFonts w:ascii="Calibri" w:cs="Calibri" w:eastAsia="Calibri" w:hAnsi="Calibri"/>
                <w:sz w:val="19"/>
                <w:szCs w:val="19"/>
              </w:rPr>
              <w:t xml:space="preserve">La nouvelle version est servie, sans code périmé.</w:t>
            </w:r>
          </w:p>
        </w:tc>
      </w:tr>
    </w:tbl>
    <w:p>
      <w:pPr>
        <w:pStyle w:val="Heading1"/>
        <w:spacing w:after="160" w:before="320"/>
      </w:pPr>
      <w:r>
        <w:t xml:space="preserve">14. Contraintes, hypothèses et risques</w:t>
      </w:r>
    </w:p>
    <w:p>
      <w:pPr>
        <w:pStyle w:val="Heading2"/>
        <w:spacing w:after="120" w:before="240"/>
      </w:pPr>
      <w:r>
        <w:t xml:space="preserve">14.1 Contraintes</w:t>
      </w:r>
    </w:p>
    <w:p>
      <w:pPr>
        <w:pStyle w:val="ListParagraph"/>
        <w:numPr>
          <w:ilvl w:val="0"/>
          <w:numId w:val="2"/>
        </w:numPr>
        <w:spacing w:after="80" w:line="276"/>
      </w:pPr>
      <w:r>
        <w:rPr>
          <w:rFonts w:ascii="Calibri" w:cs="Calibri" w:eastAsia="Calibri" w:hAnsi="Calibri"/>
          <w:sz w:val="21"/>
          <w:szCs w:val="21"/>
        </w:rPr>
        <w:t xml:space="preserve">L’authentification par compte Google exige un nom de domaine en HTTPS : elle est inopérante depuis une simple adresse IP.</w:t>
      </w:r>
    </w:p>
    <w:p>
      <w:pPr>
        <w:pStyle w:val="ListParagraph"/>
        <w:numPr>
          <w:ilvl w:val="0"/>
          <w:numId w:val="2"/>
        </w:numPr>
        <w:spacing w:after="80" w:line="276"/>
      </w:pPr>
      <w:r>
        <w:rPr>
          <w:rFonts w:ascii="Calibri" w:cs="Calibri" w:eastAsia="Calibri" w:hAnsi="Calibri"/>
          <w:sz w:val="21"/>
          <w:szCs w:val="21"/>
        </w:rPr>
        <w:t xml:space="preserve">Les fonctions serveur nécessitent l’activation d’un plan facturé chez le fournisseur.</w:t>
      </w:r>
    </w:p>
    <w:p>
      <w:pPr>
        <w:pStyle w:val="ListParagraph"/>
        <w:numPr>
          <w:ilvl w:val="0"/>
          <w:numId w:val="2"/>
        </w:numPr>
        <w:spacing w:after="80" w:line="276"/>
      </w:pPr>
      <w:r>
        <w:rPr>
          <w:rFonts w:ascii="Calibri" w:cs="Calibri" w:eastAsia="Calibri" w:hAnsi="Calibri"/>
          <w:sz w:val="21"/>
          <w:szCs w:val="21"/>
        </w:rPr>
        <w:t xml:space="preserve">Les envois au nom de l’organisation requièrent un compte de service à délégation, autorisé par l’administrateur de la suite bureautique.</w:t>
      </w:r>
    </w:p>
    <w:p>
      <w:pPr>
        <w:pStyle w:val="ListParagraph"/>
        <w:numPr>
          <w:ilvl w:val="0"/>
          <w:numId w:val="2"/>
        </w:numPr>
        <w:spacing w:after="80" w:line="276"/>
      </w:pPr>
      <w:r>
        <w:rPr>
          <w:rFonts w:ascii="Calibri" w:cs="Calibri" w:eastAsia="Calibri" w:hAnsi="Calibri"/>
          <w:sz w:val="21"/>
          <w:szCs w:val="21"/>
        </w:rPr>
        <w:t xml:space="preserve">La création du projet et l’activation des services relèvent du CRADESC (compte propriétaire).</w:t>
      </w:r>
    </w:p>
    <w:p>
      <w:pPr>
        <w:pStyle w:val="Heading2"/>
        <w:spacing w:after="120" w:before="240"/>
      </w:pPr>
      <w:r>
        <w:t xml:space="preserve">14.2 Hypothèses</w:t>
      </w:r>
    </w:p>
    <w:p>
      <w:pPr>
        <w:pStyle w:val="ListParagraph"/>
        <w:numPr>
          <w:ilvl w:val="0"/>
          <w:numId w:val="2"/>
        </w:numPr>
        <w:spacing w:after="80" w:line="276"/>
      </w:pPr>
      <w:r>
        <w:rPr>
          <w:rFonts w:ascii="Calibri" w:cs="Calibri" w:eastAsia="Calibri" w:hAnsi="Calibri"/>
          <w:sz w:val="21"/>
          <w:szCs w:val="21"/>
        </w:rPr>
        <w:t xml:space="preserve">Le CRADESC fournit les référentiels initiaux : agents, rôles, programmes, projets et seuils de validation.</w:t>
      </w:r>
    </w:p>
    <w:p>
      <w:pPr>
        <w:pStyle w:val="ListParagraph"/>
        <w:numPr>
          <w:ilvl w:val="0"/>
          <w:numId w:val="2"/>
        </w:numPr>
        <w:spacing w:after="80" w:line="276"/>
      </w:pPr>
      <w:r>
        <w:rPr>
          <w:rFonts w:ascii="Calibri" w:cs="Calibri" w:eastAsia="Calibri" w:hAnsi="Calibri"/>
          <w:sz w:val="21"/>
          <w:szCs w:val="21"/>
        </w:rPr>
        <w:t xml:space="preserve">Le CRADESC désigne un interlocuteur unique pour les arbitrages fonctionnels.</w:t>
      </w:r>
    </w:p>
    <w:p>
      <w:pPr>
        <w:pStyle w:val="ListParagraph"/>
        <w:numPr>
          <w:ilvl w:val="0"/>
          <w:numId w:val="2"/>
        </w:numPr>
        <w:spacing w:after="80" w:line="276"/>
      </w:pPr>
      <w:r>
        <w:rPr>
          <w:rFonts w:ascii="Calibri" w:cs="Calibri" w:eastAsia="Calibri" w:hAnsi="Calibri"/>
          <w:sz w:val="21"/>
          <w:szCs w:val="21"/>
        </w:rPr>
        <w:t xml:space="preserve">Les seuils de validation par rôle sont arrêtés avant le lot Achats.</w:t>
      </w:r>
    </w:p>
    <w:p>
      <w:pPr>
        <w:pStyle w:val="Heading2"/>
        <w:spacing w:after="120" w:before="240"/>
      </w:pPr>
      <w:r>
        <w:t xml:space="preserve">14.3 Risques et mesures</w:t>
      </w:r>
    </w:p>
    <w:tbl>
      <w:tblPr>
        <w:tblW w:type="dxa" w:w="9000"/>
        <w:tblBorders>
          <w:top w:val="single" w:color="D9D2CA" w:sz="4"/>
          <w:left w:val="single" w:color="D9D2CA" w:sz="4"/>
          <w:bottom w:val="single" w:color="D9D2CA" w:sz="4"/>
          <w:right w:val="single" w:color="D9D2CA" w:sz="4"/>
          <w:insideH w:val="single" w:color="D9D2CA" w:sz="4"/>
          <w:insideV w:val="single" w:color="D9D2CA" w:sz="4"/>
        </w:tblBorders>
      </w:tblPr>
      <w:tblGrid>
        <w:gridCol w:w="2600"/>
        <w:gridCol w:w="2400"/>
        <w:gridCol w:w="4000"/>
      </w:tblGrid>
      <w:tr>
        <w:trPr>
          <w:tblHeader/>
        </w:trPr>
        <w:tc>
          <w:tcPr>
            <w:tcW w:type="dxa" w:w="26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Risque</w:t>
            </w:r>
          </w:p>
        </w:tc>
        <w:tc>
          <w:tcPr>
            <w:tcW w:type="dxa" w:w="24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Effet</w:t>
            </w:r>
          </w:p>
        </w:tc>
        <w:tc>
          <w:tcPr>
            <w:tcW w:type="dxa" w:w="40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Mesure</w:t>
            </w:r>
          </w:p>
        </w:tc>
      </w:tr>
      <w:tr>
        <w:tc>
          <w:tcPr>
            <w:tcW w:type="dxa" w:w="2600"/>
            <w:tcMar>
              <w:top w:type="dxa" w:w="80"/>
              <w:left w:type="dxa" w:w="110"/>
              <w:bottom w:type="dxa" w:w="80"/>
              <w:right w:type="dxa" w:w="110"/>
            </w:tcMar>
          </w:tcPr>
          <w:p>
            <w:pPr>
              <w:spacing w:after="0" w:line="260"/>
            </w:pPr>
            <w:r>
              <w:rPr>
                <w:rFonts w:ascii="Calibri" w:cs="Calibri" w:eastAsia="Calibri" w:hAnsi="Calibri"/>
                <w:sz w:val="19"/>
                <w:szCs w:val="19"/>
              </w:rPr>
              <w:t xml:space="preserve">Référentiels incomplets au démarrage</w:t>
            </w:r>
          </w:p>
        </w:tc>
        <w:tc>
          <w:tcPr>
            <w:tcW w:type="dxa" w:w="2400"/>
            <w:tcMar>
              <w:top w:type="dxa" w:w="80"/>
              <w:left w:type="dxa" w:w="110"/>
              <w:bottom w:type="dxa" w:w="80"/>
              <w:right w:type="dxa" w:w="110"/>
            </w:tcMar>
          </w:tcPr>
          <w:p>
            <w:pPr>
              <w:spacing w:after="0" w:line="260"/>
            </w:pPr>
            <w:r>
              <w:rPr>
                <w:rFonts w:ascii="Calibri" w:cs="Calibri" w:eastAsia="Calibri" w:hAnsi="Calibri"/>
                <w:sz w:val="19"/>
                <w:szCs w:val="19"/>
              </w:rPr>
              <w:t xml:space="preserve">Retard des lots métier</w:t>
            </w:r>
          </w:p>
        </w:tc>
        <w:tc>
          <w:tcPr>
            <w:tcW w:type="dxa" w:w="4000"/>
            <w:tcMar>
              <w:top w:type="dxa" w:w="80"/>
              <w:left w:type="dxa" w:w="110"/>
              <w:bottom w:type="dxa" w:w="80"/>
              <w:right w:type="dxa" w:w="110"/>
            </w:tcMar>
          </w:tcPr>
          <w:p>
            <w:pPr>
              <w:spacing w:after="0" w:line="260"/>
            </w:pPr>
            <w:r>
              <w:rPr>
                <w:rFonts w:ascii="Calibri" w:cs="Calibri" w:eastAsia="Calibri" w:hAnsi="Calibri"/>
                <w:sz w:val="19"/>
                <w:szCs w:val="19"/>
              </w:rPr>
              <w:t xml:space="preserve">Amorçage préalable et validation des référentiels avant L1.</w:t>
            </w:r>
          </w:p>
        </w:tc>
      </w:tr>
      <w:tr>
        <w:tc>
          <w:tcPr>
            <w:tcW w:type="dxa" w:w="26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Double comptage budgétaire</w:t>
            </w:r>
          </w:p>
        </w:tc>
        <w:tc>
          <w:tcPr>
            <w:tcW w:type="dxa" w:w="2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Décisions erronées</w:t>
            </w:r>
          </w:p>
        </w:tc>
        <w:tc>
          <w:tcPr>
            <w:tcW w:type="dxa" w:w="40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Agrégation serveur unique et critère de recette dédié (CR-08).</w:t>
            </w:r>
          </w:p>
        </w:tc>
      </w:tr>
      <w:tr>
        <w:tc>
          <w:tcPr>
            <w:tcW w:type="dxa" w:w="2600"/>
            <w:tcMar>
              <w:top w:type="dxa" w:w="80"/>
              <w:left w:type="dxa" w:w="110"/>
              <w:bottom w:type="dxa" w:w="80"/>
              <w:right w:type="dxa" w:w="110"/>
            </w:tcMar>
          </w:tcPr>
          <w:p>
            <w:pPr>
              <w:spacing w:after="0" w:line="260"/>
            </w:pPr>
            <w:r>
              <w:rPr>
                <w:rFonts w:ascii="Calibri" w:cs="Calibri" w:eastAsia="Calibri" w:hAnsi="Calibri"/>
                <w:sz w:val="19"/>
                <w:szCs w:val="19"/>
              </w:rPr>
              <w:t xml:space="preserve">Contournement des droits</w:t>
            </w:r>
          </w:p>
        </w:tc>
        <w:tc>
          <w:tcPr>
            <w:tcW w:type="dxa" w:w="2400"/>
            <w:tcMar>
              <w:top w:type="dxa" w:w="80"/>
              <w:left w:type="dxa" w:w="110"/>
              <w:bottom w:type="dxa" w:w="80"/>
              <w:right w:type="dxa" w:w="110"/>
            </w:tcMar>
          </w:tcPr>
          <w:p>
            <w:pPr>
              <w:spacing w:after="0" w:line="260"/>
            </w:pPr>
            <w:r>
              <w:rPr>
                <w:rFonts w:ascii="Calibri" w:cs="Calibri" w:eastAsia="Calibri" w:hAnsi="Calibri"/>
                <w:sz w:val="19"/>
                <w:szCs w:val="19"/>
              </w:rPr>
              <w:t xml:space="preserve">Fuite de données</w:t>
            </w:r>
          </w:p>
        </w:tc>
        <w:tc>
          <w:tcPr>
            <w:tcW w:type="dxa" w:w="4000"/>
            <w:tcMar>
              <w:top w:type="dxa" w:w="80"/>
              <w:left w:type="dxa" w:w="110"/>
              <w:bottom w:type="dxa" w:w="80"/>
              <w:right w:type="dxa" w:w="110"/>
            </w:tcMar>
          </w:tcPr>
          <w:p>
            <w:pPr>
              <w:spacing w:after="0" w:line="260"/>
            </w:pPr>
            <w:r>
              <w:rPr>
                <w:rFonts w:ascii="Calibri" w:cs="Calibri" w:eastAsia="Calibri" w:hAnsi="Calibri"/>
                <w:sz w:val="19"/>
                <w:szCs w:val="19"/>
              </w:rPr>
              <w:t xml:space="preserve">Règles serveur opposables, testées en recette (CR-03).</w:t>
            </w:r>
          </w:p>
        </w:tc>
      </w:tr>
      <w:tr>
        <w:tc>
          <w:tcPr>
            <w:tcW w:type="dxa" w:w="26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Dépendance à un fournisseur unique</w:t>
            </w:r>
          </w:p>
        </w:tc>
        <w:tc>
          <w:tcPr>
            <w:tcW w:type="dxa" w:w="2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Réversibilité limitée</w:t>
            </w:r>
          </w:p>
        </w:tc>
        <w:tc>
          <w:tcPr>
            <w:tcW w:type="dxa" w:w="40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Export périodique des données dans un format ouvert.</w:t>
            </w:r>
          </w:p>
        </w:tc>
      </w:tr>
      <w:tr>
        <w:tc>
          <w:tcPr>
            <w:tcW w:type="dxa" w:w="2600"/>
            <w:tcMar>
              <w:top w:type="dxa" w:w="80"/>
              <w:left w:type="dxa" w:w="110"/>
              <w:bottom w:type="dxa" w:w="80"/>
              <w:right w:type="dxa" w:w="110"/>
            </w:tcMar>
          </w:tcPr>
          <w:p>
            <w:pPr>
              <w:spacing w:after="0" w:line="260"/>
            </w:pPr>
            <w:r>
              <w:rPr>
                <w:rFonts w:ascii="Calibri" w:cs="Calibri" w:eastAsia="Calibri" w:hAnsi="Calibri"/>
                <w:sz w:val="19"/>
                <w:szCs w:val="19"/>
              </w:rPr>
              <w:t xml:space="preserve">Adoption insuffisante</w:t>
            </w:r>
          </w:p>
        </w:tc>
        <w:tc>
          <w:tcPr>
            <w:tcW w:type="dxa" w:w="2400"/>
            <w:tcMar>
              <w:top w:type="dxa" w:w="80"/>
              <w:left w:type="dxa" w:w="110"/>
              <w:bottom w:type="dxa" w:w="80"/>
              <w:right w:type="dxa" w:w="110"/>
            </w:tcMar>
          </w:tcPr>
          <w:p>
            <w:pPr>
              <w:spacing w:after="0" w:line="260"/>
            </w:pPr>
            <w:r>
              <w:rPr>
                <w:rFonts w:ascii="Calibri" w:cs="Calibri" w:eastAsia="Calibri" w:hAnsi="Calibri"/>
                <w:sz w:val="19"/>
                <w:szCs w:val="19"/>
              </w:rPr>
              <w:t xml:space="preserve">Retour aux tableurs</w:t>
            </w:r>
          </w:p>
        </w:tc>
        <w:tc>
          <w:tcPr>
            <w:tcW w:type="dxa" w:w="4000"/>
            <w:tcMar>
              <w:top w:type="dxa" w:w="80"/>
              <w:left w:type="dxa" w:w="110"/>
              <w:bottom w:type="dxa" w:w="80"/>
              <w:right w:type="dxa" w:w="110"/>
            </w:tcMar>
          </w:tcPr>
          <w:p>
            <w:pPr>
              <w:spacing w:after="0" w:line="260"/>
            </w:pPr>
            <w:r>
              <w:rPr>
                <w:rFonts w:ascii="Calibri" w:cs="Calibri" w:eastAsia="Calibri" w:hAnsi="Calibri"/>
                <w:sz w:val="19"/>
                <w:szCs w:val="19"/>
              </w:rPr>
              <w:t xml:space="preserve">Formation par rôle et accompagnement au démarrage.</w:t>
            </w:r>
          </w:p>
        </w:tc>
      </w:tr>
    </w:tbl>
    <w:p>
      <w:pPr>
        <w:pStyle w:val="Heading1"/>
        <w:spacing w:after="160" w:before="320"/>
      </w:pPr>
      <w:r>
        <w:t xml:space="preserve">15. Annexes</w:t>
      </w:r>
    </w:p>
    <w:p>
      <w:pPr>
        <w:pStyle w:val="Heading2"/>
        <w:spacing w:after="120" w:before="240"/>
      </w:pPr>
      <w:r>
        <w:t xml:space="preserve">Annexe A — Rôles et libellés</w:t>
      </w:r>
    </w:p>
    <w:tbl>
      <w:tblPr>
        <w:tblW w:type="dxa" w:w="9000"/>
        <w:tblBorders>
          <w:top w:val="single" w:color="D9D2CA" w:sz="4"/>
          <w:left w:val="single" w:color="D9D2CA" w:sz="4"/>
          <w:bottom w:val="single" w:color="D9D2CA" w:sz="4"/>
          <w:right w:val="single" w:color="D9D2CA" w:sz="4"/>
          <w:insideH w:val="single" w:color="D9D2CA" w:sz="4"/>
          <w:insideV w:val="single" w:color="D9D2CA" w:sz="4"/>
        </w:tblBorders>
      </w:tblPr>
      <w:tblGrid>
        <w:gridCol w:w="1800"/>
        <w:gridCol w:w="2400"/>
        <w:gridCol w:w="4800"/>
      </w:tblGrid>
      <w:tr>
        <w:trPr>
          <w:tblHeader/>
        </w:trPr>
        <w:tc>
          <w:tcPr>
            <w:tcW w:type="dxa" w:w="18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Clé</w:t>
            </w:r>
          </w:p>
        </w:tc>
        <w:tc>
          <w:tcPr>
            <w:tcW w:type="dxa" w:w="24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Libellé</w:t>
            </w:r>
          </w:p>
        </w:tc>
        <w:tc>
          <w:tcPr>
            <w:tcW w:type="dxa" w:w="48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Portée</w:t>
            </w:r>
          </w:p>
        </w:tc>
      </w:tr>
      <w:tr>
        <w:tc>
          <w:tcPr>
            <w:tcW w:type="dxa" w:w="1800"/>
            <w:tcMar>
              <w:top w:type="dxa" w:w="80"/>
              <w:left w:type="dxa" w:w="110"/>
              <w:bottom w:type="dxa" w:w="80"/>
              <w:right w:type="dxa" w:w="110"/>
            </w:tcMar>
          </w:tcPr>
          <w:p>
            <w:pPr>
              <w:spacing w:after="0" w:line="260"/>
            </w:pPr>
            <w:r>
              <w:rPr>
                <w:rFonts w:ascii="Calibri" w:cs="Calibri" w:eastAsia="Calibri" w:hAnsi="Calibri"/>
                <w:sz w:val="19"/>
                <w:szCs w:val="19"/>
              </w:rPr>
              <w:t xml:space="preserve">admin</w:t>
            </w:r>
          </w:p>
        </w:tc>
        <w:tc>
          <w:tcPr>
            <w:tcW w:type="dxa" w:w="2400"/>
            <w:tcMar>
              <w:top w:type="dxa" w:w="80"/>
              <w:left w:type="dxa" w:w="110"/>
              <w:bottom w:type="dxa" w:w="80"/>
              <w:right w:type="dxa" w:w="110"/>
            </w:tcMar>
          </w:tcPr>
          <w:p>
            <w:pPr>
              <w:spacing w:after="0" w:line="260"/>
            </w:pPr>
            <w:r>
              <w:rPr>
                <w:rFonts w:ascii="Calibri" w:cs="Calibri" w:eastAsia="Calibri" w:hAnsi="Calibri"/>
                <w:sz w:val="19"/>
                <w:szCs w:val="19"/>
              </w:rPr>
              <w:t xml:space="preserve">Administratrice</w:t>
            </w:r>
          </w:p>
        </w:tc>
        <w:tc>
          <w:tcPr>
            <w:tcW w:type="dxa" w:w="4800"/>
            <w:tcMar>
              <w:top w:type="dxa" w:w="80"/>
              <w:left w:type="dxa" w:w="110"/>
              <w:bottom w:type="dxa" w:w="80"/>
              <w:right w:type="dxa" w:w="110"/>
            </w:tcMar>
          </w:tcPr>
          <w:p>
            <w:pPr>
              <w:spacing w:after="0" w:line="260"/>
            </w:pPr>
            <w:r>
              <w:rPr>
                <w:rFonts w:ascii="Calibri" w:cs="Calibri" w:eastAsia="Calibri" w:hAnsi="Calibri"/>
                <w:sz w:val="19"/>
                <w:szCs w:val="19"/>
              </w:rPr>
              <w:t xml:space="preserve">Accès complet, gestion des comptes et des rôles.</w:t>
            </w:r>
          </w:p>
        </w:tc>
      </w:tr>
      <w:tr>
        <w:tc>
          <w:tcPr>
            <w:tcW w:type="dxa" w:w="18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directrice</w:t>
            </w:r>
          </w:p>
        </w:tc>
        <w:tc>
          <w:tcPr>
            <w:tcW w:type="dxa" w:w="2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Directrice</w:t>
            </w:r>
          </w:p>
        </w:tc>
        <w:tc>
          <w:tcPr>
            <w:tcW w:type="dxa" w:w="48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Accès complet, décaissement, tableau de bord direction.</w:t>
            </w:r>
          </w:p>
        </w:tc>
      </w:tr>
      <w:tr>
        <w:tc>
          <w:tcPr>
            <w:tcW w:type="dxa" w:w="1800"/>
            <w:tcMar>
              <w:top w:type="dxa" w:w="80"/>
              <w:left w:type="dxa" w:w="110"/>
              <w:bottom w:type="dxa" w:w="80"/>
              <w:right w:type="dxa" w:w="110"/>
            </w:tcMar>
          </w:tcPr>
          <w:p>
            <w:pPr>
              <w:spacing w:after="0" w:line="260"/>
            </w:pPr>
            <w:r>
              <w:rPr>
                <w:rFonts w:ascii="Calibri" w:cs="Calibri" w:eastAsia="Calibri" w:hAnsi="Calibri"/>
                <w:sz w:val="19"/>
                <w:szCs w:val="19"/>
              </w:rPr>
              <w:t xml:space="preserve">dir_prog</w:t>
            </w:r>
          </w:p>
        </w:tc>
        <w:tc>
          <w:tcPr>
            <w:tcW w:type="dxa" w:w="2400"/>
            <w:tcMar>
              <w:top w:type="dxa" w:w="80"/>
              <w:left w:type="dxa" w:w="110"/>
              <w:bottom w:type="dxa" w:w="80"/>
              <w:right w:type="dxa" w:w="110"/>
            </w:tcMar>
          </w:tcPr>
          <w:p>
            <w:pPr>
              <w:spacing w:after="0" w:line="260"/>
            </w:pPr>
            <w:r>
              <w:rPr>
                <w:rFonts w:ascii="Calibri" w:cs="Calibri" w:eastAsia="Calibri" w:hAnsi="Calibri"/>
                <w:sz w:val="19"/>
                <w:szCs w:val="19"/>
              </w:rPr>
              <w:t xml:space="preserve">Directeur de programme</w:t>
            </w:r>
          </w:p>
        </w:tc>
        <w:tc>
          <w:tcPr>
            <w:tcW w:type="dxa" w:w="4800"/>
            <w:tcMar>
              <w:top w:type="dxa" w:w="80"/>
              <w:left w:type="dxa" w:w="110"/>
              <w:bottom w:type="dxa" w:w="80"/>
              <w:right w:type="dxa" w:w="110"/>
            </w:tcMar>
          </w:tcPr>
          <w:p>
            <w:pPr>
              <w:spacing w:after="0" w:line="260"/>
            </w:pPr>
            <w:r>
              <w:rPr>
                <w:rFonts w:ascii="Calibri" w:cs="Calibri" w:eastAsia="Calibri" w:hAnsi="Calibri"/>
                <w:sz w:val="19"/>
                <w:szCs w:val="19"/>
              </w:rPr>
              <w:t xml:space="preserve">Pilotage et circuits, hors direction.</w:t>
            </w:r>
          </w:p>
        </w:tc>
      </w:tr>
      <w:tr>
        <w:tc>
          <w:tcPr>
            <w:tcW w:type="dxa" w:w="18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chef_projet</w:t>
            </w:r>
          </w:p>
        </w:tc>
        <w:tc>
          <w:tcPr>
            <w:tcW w:type="dxa" w:w="2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Chef de projet</w:t>
            </w:r>
          </w:p>
        </w:tc>
        <w:tc>
          <w:tcPr>
            <w:tcW w:type="dxa" w:w="48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Pilotage de ses projets, circuits, paiements.</w:t>
            </w:r>
          </w:p>
        </w:tc>
      </w:tr>
      <w:tr>
        <w:tc>
          <w:tcPr>
            <w:tcW w:type="dxa" w:w="1800"/>
            <w:tcMar>
              <w:top w:type="dxa" w:w="80"/>
              <w:left w:type="dxa" w:w="110"/>
              <w:bottom w:type="dxa" w:w="80"/>
              <w:right w:type="dxa" w:w="110"/>
            </w:tcMar>
          </w:tcPr>
          <w:p>
            <w:pPr>
              <w:spacing w:after="0" w:line="260"/>
            </w:pPr>
            <w:r>
              <w:rPr>
                <w:rFonts w:ascii="Calibri" w:cs="Calibri" w:eastAsia="Calibri" w:hAnsi="Calibri"/>
                <w:sz w:val="19"/>
                <w:szCs w:val="19"/>
              </w:rPr>
              <w:t xml:space="preserve">collaborateur</w:t>
            </w:r>
          </w:p>
        </w:tc>
        <w:tc>
          <w:tcPr>
            <w:tcW w:type="dxa" w:w="2400"/>
            <w:tcMar>
              <w:top w:type="dxa" w:w="80"/>
              <w:left w:type="dxa" w:w="110"/>
              <w:bottom w:type="dxa" w:w="80"/>
              <w:right w:type="dxa" w:w="110"/>
            </w:tcMar>
          </w:tcPr>
          <w:p>
            <w:pPr>
              <w:spacing w:after="0" w:line="260"/>
            </w:pPr>
            <w:r>
              <w:rPr>
                <w:rFonts w:ascii="Calibri" w:cs="Calibri" w:eastAsia="Calibri" w:hAnsi="Calibri"/>
                <w:sz w:val="19"/>
                <w:szCs w:val="19"/>
              </w:rPr>
              <w:t xml:space="preserve">Agent</w:t>
            </w:r>
          </w:p>
        </w:tc>
        <w:tc>
          <w:tcPr>
            <w:tcW w:type="dxa" w:w="4800"/>
            <w:tcMar>
              <w:top w:type="dxa" w:w="80"/>
              <w:left w:type="dxa" w:w="110"/>
              <w:bottom w:type="dxa" w:w="80"/>
              <w:right w:type="dxa" w:w="110"/>
            </w:tcMar>
          </w:tcPr>
          <w:p>
            <w:pPr>
              <w:spacing w:after="0" w:line="260"/>
            </w:pPr>
            <w:r>
              <w:rPr>
                <w:rFonts w:ascii="Calibri" w:cs="Calibri" w:eastAsia="Calibri" w:hAnsi="Calibri"/>
                <w:sz w:val="19"/>
                <w:szCs w:val="19"/>
              </w:rPr>
              <w:t xml:space="preserve">Consultation et contribution, hors paiements et direction.</w:t>
            </w:r>
          </w:p>
        </w:tc>
      </w:tr>
    </w:tbl>
    <w:p>
      <w:pPr>
        <w:pStyle w:val="Heading2"/>
        <w:spacing w:after="120" w:before="240"/>
      </w:pPr>
      <w:r>
        <w:t xml:space="preserve">Annexe B — Glossaire</w:t>
      </w:r>
    </w:p>
    <w:tbl>
      <w:tblPr>
        <w:tblW w:type="dxa" w:w="9000"/>
        <w:tblBorders>
          <w:top w:val="single" w:color="D9D2CA" w:sz="4"/>
          <w:left w:val="single" w:color="D9D2CA" w:sz="4"/>
          <w:bottom w:val="single" w:color="D9D2CA" w:sz="4"/>
          <w:right w:val="single" w:color="D9D2CA" w:sz="4"/>
          <w:insideH w:val="single" w:color="D9D2CA" w:sz="4"/>
          <w:insideV w:val="single" w:color="D9D2CA" w:sz="4"/>
        </w:tblBorders>
      </w:tblPr>
      <w:tblGrid>
        <w:gridCol w:w="2400"/>
        <w:gridCol w:w="6600"/>
      </w:tblGrid>
      <w:tr>
        <w:trPr>
          <w:tblHeader/>
        </w:trPr>
        <w:tc>
          <w:tcPr>
            <w:tcW w:type="dxa" w:w="24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Terme</w:t>
            </w:r>
          </w:p>
        </w:tc>
        <w:tc>
          <w:tcPr>
            <w:tcW w:type="dxa" w:w="66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Définition</w:t>
            </w:r>
          </w:p>
        </w:tc>
      </w:tr>
      <w:tr>
        <w:tc>
          <w:tcPr>
            <w:tcW w:type="dxa" w:w="2400"/>
            <w:tcMar>
              <w:top w:type="dxa" w:w="80"/>
              <w:left w:type="dxa" w:w="110"/>
              <w:bottom w:type="dxa" w:w="80"/>
              <w:right w:type="dxa" w:w="110"/>
            </w:tcMar>
          </w:tcPr>
          <w:p>
            <w:pPr>
              <w:spacing w:after="0" w:line="260"/>
            </w:pPr>
            <w:r>
              <w:rPr>
                <w:rFonts w:ascii="Calibri" w:cs="Calibri" w:eastAsia="Calibri" w:hAnsi="Calibri"/>
                <w:sz w:val="19"/>
                <w:szCs w:val="19"/>
              </w:rPr>
              <w:t xml:space="preserve">Engagement</w:t>
            </w:r>
          </w:p>
        </w:tc>
        <w:tc>
          <w:tcPr>
            <w:tcW w:type="dxa" w:w="6600"/>
            <w:tcMar>
              <w:top w:type="dxa" w:w="80"/>
              <w:left w:type="dxa" w:w="110"/>
              <w:bottom w:type="dxa" w:w="80"/>
              <w:right w:type="dxa" w:w="110"/>
            </w:tcMar>
          </w:tcPr>
          <w:p>
            <w:pPr>
              <w:spacing w:after="0" w:line="260"/>
            </w:pPr>
            <w:r>
              <w:rPr>
                <w:rFonts w:ascii="Calibri" w:cs="Calibri" w:eastAsia="Calibri" w:hAnsi="Calibri"/>
                <w:sz w:val="19"/>
                <w:szCs w:val="19"/>
              </w:rPr>
              <w:t xml:space="preserve">Montant réservé sur un budget par un bon de commande ou un paiement approuvé.</w:t>
            </w:r>
          </w:p>
        </w:tc>
      </w:tr>
      <w:tr>
        <w:tc>
          <w:tcPr>
            <w:tcW w:type="dxa" w:w="2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Disponibilité budgétaire</w:t>
            </w:r>
          </w:p>
        </w:tc>
        <w:tc>
          <w:tcPr>
            <w:tcW w:type="dxa" w:w="66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Budget total du programme diminué de l’engagé.</w:t>
            </w:r>
          </w:p>
        </w:tc>
      </w:tr>
      <w:tr>
        <w:tc>
          <w:tcPr>
            <w:tcW w:type="dxa" w:w="2400"/>
            <w:tcMar>
              <w:top w:type="dxa" w:w="80"/>
              <w:left w:type="dxa" w:w="110"/>
              <w:bottom w:type="dxa" w:w="80"/>
              <w:right w:type="dxa" w:w="110"/>
            </w:tcMar>
          </w:tcPr>
          <w:p>
            <w:pPr>
              <w:spacing w:after="0" w:line="260"/>
            </w:pPr>
            <w:r>
              <w:rPr>
                <w:rFonts w:ascii="Calibri" w:cs="Calibri" w:eastAsia="Calibri" w:hAnsi="Calibri"/>
                <w:sz w:val="19"/>
                <w:szCs w:val="19"/>
              </w:rPr>
              <w:t xml:space="preserve">Passerelle</w:t>
            </w:r>
          </w:p>
        </w:tc>
        <w:tc>
          <w:tcPr>
            <w:tcW w:type="dxa" w:w="6600"/>
            <w:tcMar>
              <w:top w:type="dxa" w:w="80"/>
              <w:left w:type="dxa" w:w="110"/>
              <w:bottom w:type="dxa" w:w="80"/>
              <w:right w:type="dxa" w:w="110"/>
            </w:tcMar>
          </w:tcPr>
          <w:p>
            <w:pPr>
              <w:spacing w:after="0" w:line="260"/>
            </w:pPr>
            <w:r>
              <w:rPr>
                <w:rFonts w:ascii="Calibri" w:cs="Calibri" w:eastAsia="Calibri" w:hAnsi="Calibri"/>
                <w:sz w:val="19"/>
                <w:szCs w:val="19"/>
              </w:rPr>
              <w:t xml:space="preserve">Automatisme reliant deux processus sans ressaisie (avance → paiement).</w:t>
            </w:r>
          </w:p>
        </w:tc>
      </w:tr>
      <w:tr>
        <w:tc>
          <w:tcPr>
            <w:tcW w:type="dxa" w:w="2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Idempotence</w:t>
            </w:r>
          </w:p>
        </w:tc>
        <w:tc>
          <w:tcPr>
            <w:tcW w:type="dxa" w:w="66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Propriété garantissant qu’une opération répétée ne produit pas de doublon.</w:t>
            </w:r>
          </w:p>
        </w:tc>
      </w:tr>
      <w:tr>
        <w:tc>
          <w:tcPr>
            <w:tcW w:type="dxa" w:w="2400"/>
            <w:tcMar>
              <w:top w:type="dxa" w:w="80"/>
              <w:left w:type="dxa" w:w="110"/>
              <w:bottom w:type="dxa" w:w="80"/>
              <w:right w:type="dxa" w:w="110"/>
            </w:tcMar>
          </w:tcPr>
          <w:p>
            <w:pPr>
              <w:spacing w:after="0" w:line="260"/>
            </w:pPr>
            <w:r>
              <w:rPr>
                <w:rFonts w:ascii="Calibri" w:cs="Calibri" w:eastAsia="Calibri" w:hAnsi="Calibri"/>
                <w:sz w:val="19"/>
                <w:szCs w:val="19"/>
              </w:rPr>
              <w:t xml:space="preserve">Journal d’audit</w:t>
            </w:r>
          </w:p>
        </w:tc>
        <w:tc>
          <w:tcPr>
            <w:tcW w:type="dxa" w:w="6600"/>
            <w:tcMar>
              <w:top w:type="dxa" w:w="80"/>
              <w:left w:type="dxa" w:w="110"/>
              <w:bottom w:type="dxa" w:w="80"/>
              <w:right w:type="dxa" w:w="110"/>
            </w:tcMar>
          </w:tcPr>
          <w:p>
            <w:pPr>
              <w:spacing w:after="0" w:line="260"/>
            </w:pPr>
            <w:r>
              <w:rPr>
                <w:rFonts w:ascii="Calibri" w:cs="Calibri" w:eastAsia="Calibri" w:hAnsi="Calibri"/>
                <w:sz w:val="19"/>
                <w:szCs w:val="19"/>
              </w:rPr>
              <w:t xml:space="preserve">Registre en ajout seul des opérations sensibles, horodaté.</w:t>
            </w:r>
          </w:p>
        </w:tc>
      </w:tr>
      <w:tr>
        <w:tc>
          <w:tcPr>
            <w:tcW w:type="dxa" w:w="2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Rôle</w:t>
            </w:r>
          </w:p>
        </w:tc>
        <w:tc>
          <w:tcPr>
            <w:tcW w:type="dxa" w:w="66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Profil déterminant les droits d’accès, porté par le jeton de connexion.</w:t>
            </w:r>
          </w:p>
        </w:tc>
      </w:tr>
      <w:tr>
        <w:tc>
          <w:tcPr>
            <w:tcW w:type="dxa" w:w="2400"/>
            <w:tcMar>
              <w:top w:type="dxa" w:w="80"/>
              <w:left w:type="dxa" w:w="110"/>
              <w:bottom w:type="dxa" w:w="80"/>
              <w:right w:type="dxa" w:w="110"/>
            </w:tcMar>
          </w:tcPr>
          <w:p>
            <w:pPr>
              <w:spacing w:after="0" w:line="260"/>
            </w:pPr>
            <w:r>
              <w:rPr>
                <w:rFonts w:ascii="Calibri" w:cs="Calibri" w:eastAsia="Calibri" w:hAnsi="Calibri"/>
                <w:sz w:val="19"/>
                <w:szCs w:val="19"/>
              </w:rPr>
              <w:t xml:space="preserve">PWA</w:t>
            </w:r>
          </w:p>
        </w:tc>
        <w:tc>
          <w:tcPr>
            <w:tcW w:type="dxa" w:w="6600"/>
            <w:tcMar>
              <w:top w:type="dxa" w:w="80"/>
              <w:left w:type="dxa" w:w="110"/>
              <w:bottom w:type="dxa" w:w="80"/>
              <w:right w:type="dxa" w:w="110"/>
            </w:tcMar>
          </w:tcPr>
          <w:p>
            <w:pPr>
              <w:spacing w:after="0" w:line="260"/>
            </w:pPr>
            <w:r>
              <w:rPr>
                <w:rFonts w:ascii="Calibri" w:cs="Calibri" w:eastAsia="Calibri" w:hAnsi="Calibri"/>
                <w:sz w:val="19"/>
                <w:szCs w:val="19"/>
              </w:rPr>
              <w:t xml:space="preserve">Application web installable, fonctionnant partiellement hors ligne.</w:t>
            </w:r>
          </w:p>
        </w:tc>
      </w:tr>
    </w:tbl>
    <w:p>
      <w:pPr>
        <w:pStyle w:val="Heading2"/>
        <w:spacing w:after="120" w:before="240"/>
      </w:pPr>
      <w:r>
        <w:t xml:space="preserve">Annexe C — Validation du document</w:t>
      </w:r>
    </w:p>
    <w:tbl>
      <w:tblPr>
        <w:tblW w:type="dxa" w:w="9000"/>
        <w:tblBorders>
          <w:top w:val="single" w:color="D9D2CA" w:sz="4"/>
          <w:left w:val="single" w:color="D9D2CA" w:sz="4"/>
          <w:bottom w:val="single" w:color="D9D2CA" w:sz="4"/>
          <w:right w:val="single" w:color="D9D2CA" w:sz="4"/>
          <w:insideH w:val="single" w:color="D9D2CA" w:sz="4"/>
          <w:insideV w:val="single" w:color="D9D2CA" w:sz="4"/>
        </w:tblBorders>
      </w:tblPr>
      <w:tblGrid>
        <w:gridCol w:w="3400"/>
        <w:gridCol w:w="2400"/>
        <w:gridCol w:w="1600"/>
        <w:gridCol w:w="1600"/>
      </w:tblGrid>
      <w:tr>
        <w:trPr>
          <w:tblHeader/>
        </w:trPr>
        <w:tc>
          <w:tcPr>
            <w:tcW w:type="dxa" w:w="34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Rôle</w:t>
            </w:r>
          </w:p>
        </w:tc>
        <w:tc>
          <w:tcPr>
            <w:tcW w:type="dxa" w:w="24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Nom</w:t>
            </w:r>
          </w:p>
        </w:tc>
        <w:tc>
          <w:tcPr>
            <w:tcW w:type="dxa" w:w="16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Date</w:t>
            </w:r>
          </w:p>
        </w:tc>
        <w:tc>
          <w:tcPr>
            <w:tcW w:type="dxa" w:w="1600"/>
            <w:shd w:fill="4A2E25"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Visa</w:t>
            </w:r>
          </w:p>
        </w:tc>
      </w:tr>
      <w:tr>
        <w:tc>
          <w:tcPr>
            <w:tcW w:type="dxa" w:w="3400"/>
            <w:tcMar>
              <w:top w:type="dxa" w:w="80"/>
              <w:left w:type="dxa" w:w="110"/>
              <w:bottom w:type="dxa" w:w="80"/>
              <w:right w:type="dxa" w:w="110"/>
            </w:tcMar>
          </w:tcPr>
          <w:p>
            <w:pPr>
              <w:spacing w:after="0" w:line="260"/>
            </w:pPr>
            <w:r>
              <w:rPr>
                <w:rFonts w:ascii="Calibri" w:cs="Calibri" w:eastAsia="Calibri" w:hAnsi="Calibri"/>
                <w:sz w:val="19"/>
                <w:szCs w:val="19"/>
              </w:rPr>
              <w:t xml:space="preserve">Rédaction</w:t>
            </w:r>
          </w:p>
        </w:tc>
        <w:tc>
          <w:tcPr>
            <w:tcW w:type="dxa" w:w="2400"/>
            <w:tcMar>
              <w:top w:type="dxa" w:w="80"/>
              <w:left w:type="dxa" w:w="110"/>
              <w:bottom w:type="dxa" w:w="80"/>
              <w:right w:type="dxa" w:w="110"/>
            </w:tcMar>
          </w:tcPr>
          <w:p>
            <w:pPr>
              <w:spacing w:after="0" w:line="260"/>
            </w:pPr>
            <w:r>
              <w:rPr>
                <w:rFonts w:ascii="Calibri" w:cs="Calibri" w:eastAsia="Calibri" w:hAnsi="Calibri"/>
                <w:sz w:val="19"/>
                <w:szCs w:val="19"/>
              </w:rPr>
              <w:t xml:space="preserve"/>
            </w:r>
          </w:p>
        </w:tc>
        <w:tc>
          <w:tcPr>
            <w:tcW w:type="dxa" w:w="1600"/>
            <w:tcMar>
              <w:top w:type="dxa" w:w="80"/>
              <w:left w:type="dxa" w:w="110"/>
              <w:bottom w:type="dxa" w:w="80"/>
              <w:right w:type="dxa" w:w="110"/>
            </w:tcMar>
          </w:tcPr>
          <w:p>
            <w:pPr>
              <w:spacing w:after="0" w:line="260"/>
            </w:pPr>
            <w:r>
              <w:rPr>
                <w:rFonts w:ascii="Calibri" w:cs="Calibri" w:eastAsia="Calibri" w:hAnsi="Calibri"/>
                <w:sz w:val="19"/>
                <w:szCs w:val="19"/>
              </w:rPr>
              <w:t xml:space="preserve"/>
            </w:r>
          </w:p>
        </w:tc>
        <w:tc>
          <w:tcPr>
            <w:tcW w:type="dxa" w:w="1600"/>
            <w:tcMar>
              <w:top w:type="dxa" w:w="80"/>
              <w:left w:type="dxa" w:w="110"/>
              <w:bottom w:type="dxa" w:w="80"/>
              <w:right w:type="dxa" w:w="110"/>
            </w:tcMar>
          </w:tcPr>
          <w:p>
            <w:pPr>
              <w:spacing w:after="0" w:line="260"/>
            </w:pPr>
            <w:r>
              <w:rPr>
                <w:rFonts w:ascii="Calibri" w:cs="Calibri" w:eastAsia="Calibri" w:hAnsi="Calibri"/>
                <w:sz w:val="19"/>
                <w:szCs w:val="19"/>
              </w:rPr>
              <w:t xml:space="preserve"/>
            </w:r>
          </w:p>
        </w:tc>
      </w:tr>
      <w:tr>
        <w:tc>
          <w:tcPr>
            <w:tcW w:type="dxa" w:w="3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Vérification (coordination technique)</w:t>
            </w:r>
          </w:p>
        </w:tc>
        <w:tc>
          <w:tcPr>
            <w:tcW w:type="dxa" w:w="24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
            </w:r>
          </w:p>
        </w:tc>
        <w:tc>
          <w:tcPr>
            <w:tcW w:type="dxa" w:w="16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
            </w:r>
          </w:p>
        </w:tc>
        <w:tc>
          <w:tcPr>
            <w:tcW w:type="dxa" w:w="1600"/>
            <w:shd w:fill="F4F0EB"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
            </w:r>
          </w:p>
        </w:tc>
      </w:tr>
      <w:tr>
        <w:tc>
          <w:tcPr>
            <w:tcW w:type="dxa" w:w="3400"/>
            <w:tcMar>
              <w:top w:type="dxa" w:w="80"/>
              <w:left w:type="dxa" w:w="110"/>
              <w:bottom w:type="dxa" w:w="80"/>
              <w:right w:type="dxa" w:w="110"/>
            </w:tcMar>
          </w:tcPr>
          <w:p>
            <w:pPr>
              <w:spacing w:after="0" w:line="260"/>
            </w:pPr>
            <w:r>
              <w:rPr>
                <w:rFonts w:ascii="Calibri" w:cs="Calibri" w:eastAsia="Calibri" w:hAnsi="Calibri"/>
                <w:sz w:val="19"/>
                <w:szCs w:val="19"/>
              </w:rPr>
              <w:t xml:space="preserve">Approbation (direction)</w:t>
            </w:r>
          </w:p>
        </w:tc>
        <w:tc>
          <w:tcPr>
            <w:tcW w:type="dxa" w:w="2400"/>
            <w:tcMar>
              <w:top w:type="dxa" w:w="80"/>
              <w:left w:type="dxa" w:w="110"/>
              <w:bottom w:type="dxa" w:w="80"/>
              <w:right w:type="dxa" w:w="110"/>
            </w:tcMar>
          </w:tcPr>
          <w:p>
            <w:pPr>
              <w:spacing w:after="0" w:line="260"/>
            </w:pPr>
            <w:r>
              <w:rPr>
                <w:rFonts w:ascii="Calibri" w:cs="Calibri" w:eastAsia="Calibri" w:hAnsi="Calibri"/>
                <w:sz w:val="19"/>
                <w:szCs w:val="19"/>
              </w:rPr>
              <w:t xml:space="preserve"/>
            </w:r>
          </w:p>
        </w:tc>
        <w:tc>
          <w:tcPr>
            <w:tcW w:type="dxa" w:w="1600"/>
            <w:tcMar>
              <w:top w:type="dxa" w:w="80"/>
              <w:left w:type="dxa" w:w="110"/>
              <w:bottom w:type="dxa" w:w="80"/>
              <w:right w:type="dxa" w:w="110"/>
            </w:tcMar>
          </w:tcPr>
          <w:p>
            <w:pPr>
              <w:spacing w:after="0" w:line="260"/>
            </w:pPr>
            <w:r>
              <w:rPr>
                <w:rFonts w:ascii="Calibri" w:cs="Calibri" w:eastAsia="Calibri" w:hAnsi="Calibri"/>
                <w:sz w:val="19"/>
                <w:szCs w:val="19"/>
              </w:rPr>
              <w:t xml:space="preserve"/>
            </w:r>
          </w:p>
        </w:tc>
        <w:tc>
          <w:tcPr>
            <w:tcW w:type="dxa" w:w="1600"/>
            <w:tcMar>
              <w:top w:type="dxa" w:w="80"/>
              <w:left w:type="dxa" w:w="110"/>
              <w:bottom w:type="dxa" w:w="80"/>
              <w:right w:type="dxa" w:w="110"/>
            </w:tcMar>
          </w:tcPr>
          <w:p>
            <w:pPr>
              <w:spacing w:after="0" w:line="260"/>
            </w:pPr>
            <w:r>
              <w:rPr>
                <w:rFonts w:ascii="Calibri" w:cs="Calibri" w:eastAsia="Calibri" w:hAnsi="Calibri"/>
                <w:sz w:val="19"/>
                <w:szCs w:val="19"/>
              </w:rP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6962"/>
        <w:sz w:val="17"/>
        <w:szCs w:val="17"/>
      </w:rPr>
      <w:t xml:space="preserve">Page </w:t>
    </w:r>
    <w:r>
      <w:rPr>
        <w:rFonts w:ascii="Calibri" w:cs="Calibri" w:eastAsia="Calibri" w:hAnsi="Calibri"/>
        <w:color w:val="7A6962"/>
        <w:sz w:val="17"/>
        <w:szCs w:val="17"/>
      </w:rPr>
      <w:fldChar w:fldCharType="begin"/>
      <w:instrText xml:space="preserve">PAGE</w:instrText>
      <w:fldChar w:fldCharType="separate"/>
      <w:fldChar w:fldCharType="end"/>
    </w:r>
    <w:r>
      <w:rPr>
        <w:rFonts w:ascii="Calibri" w:cs="Calibri" w:eastAsia="Calibri" w:hAnsi="Calibri"/>
        <w:color w:val="7A6962"/>
        <w:sz w:val="17"/>
        <w:szCs w:val="17"/>
      </w:rPr>
      <w:t xml:space="preserve"> / </w:t>
    </w:r>
    <w:r>
      <w:rPr>
        <w:rFonts w:ascii="Calibri" w:cs="Calibri" w:eastAsia="Calibri" w:hAnsi="Calibri"/>
        <w:color w:val="7A6962"/>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2CA" w:sz="4"/>
      </w:pBdr>
      <w:spacing w:after="60"/>
      <w:jc w:val="right"/>
    </w:pPr>
    <w:r>
      <w:rPr>
        <w:rFonts w:ascii="Calibri" w:cs="Calibri" w:eastAsia="Calibri" w:hAnsi="Calibri"/>
        <w:color w:val="7A6962"/>
        <w:sz w:val="17"/>
        <w:szCs w:val="17"/>
      </w:rPr>
      <w:t xml:space="preserve">CRADESC — Cahier des charges · Intranet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4A2E25"/>
      <w:sz w:val="30"/>
      <w:szCs w:val="30"/>
    </w:rPr>
  </w:style>
  <w:style w:type="paragraph" w:styleId="Heading2">
    <w:name w:val="Heading 2"/>
    <w:basedOn w:val="Normal"/>
    <w:next w:val="Normal"/>
    <w:qFormat/>
    <w:pPr>
      <w:spacing w:after="120" w:before="240"/>
    </w:pPr>
    <w:rPr>
      <w:rFonts w:ascii="Calibri" w:cs="Calibri" w:eastAsia="Calibri" w:hAnsi="Calibri"/>
      <w:b/>
      <w:bCs/>
      <w:color w:val="4A2E25"/>
      <w:sz w:val="25"/>
      <w:szCs w:val="25"/>
    </w:rPr>
  </w:style>
  <w:style w:type="paragraph" w:styleId="Heading3">
    <w:name w:val="Heading 3"/>
    <w:basedOn w:val="Normal"/>
    <w:next w:val="Normal"/>
    <w:qFormat/>
    <w:pPr>
      <w:spacing w:after="100" w:before="180"/>
    </w:pPr>
    <w:rPr>
      <w:rFonts w:ascii="Calibri" w:cs="Calibri" w:eastAsia="Calibri" w:hAnsi="Calibri"/>
      <w:b/>
      <w:bCs/>
      <w:color w:val="7A6962"/>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Suite numérique interne</dc:title>
  <dc:creator>CRADESC</dc:creator>
  <dc:description>Cahier des charges de l’intranet CRADESC</dc:description>
  <cp:lastModifiedBy>Un-named</cp:lastModifiedBy>
  <cp:revision>1</cp:revision>
  <dcterms:created xsi:type="dcterms:W3CDTF">2026-07-24T16:09:32.846Z</dcterms:created>
  <dcterms:modified xsi:type="dcterms:W3CDTF">2026-07-24T16:09:32.847Z</dcterms:modified>
</cp:coreProperties>
</file>

<file path=docProps/custom.xml><?xml version="1.0" encoding="utf-8"?>
<Properties xmlns="http://schemas.openxmlformats.org/officeDocument/2006/custom-properties" xmlns:vt="http://schemas.openxmlformats.org/officeDocument/2006/docPropsVTypes"/>
</file>