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26 October 2026, 07:22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2026-10-26 (07:17 UTC)</w:t>
            </w:r>
          </w:p>
        </w:tc>
      </w:tr>
      <w:tr>
        <w:tc>
          <w:tcPr>
            <w:tcW w:type="dxa" w:w="4535"/>
            <w:shd w:val="clear" w:color="auto" w:fill="F3F5F7"/>
          </w:tcPr>
          <w:p>
            <w:r/>
            <w:r>
              <w:rPr>
                <w:sz w:val="19"/>
              </w:rPr>
              <w:t>Stories in latest digest</w:t>
            </w:r>
          </w:p>
        </w:tc>
        <w:tc>
          <w:tcPr>
            <w:tcW w:type="dxa" w:w="5102"/>
            <w:shd w:val="clear" w:color="auto" w:fill="F3F5F7"/>
          </w:tcPr>
          <w:p>
            <w:r/>
            <w:r>
              <w:rPr>
                <w:sz w:val="19"/>
              </w:rPr>
              <w:t>43</w:t>
            </w:r>
          </w:p>
        </w:tc>
      </w:tr>
      <w:tr>
        <w:tc>
          <w:tcPr>
            <w:tcW w:type="dxa" w:w="4535"/>
          </w:tcPr>
          <w:p>
            <w:r/>
            <w:r>
              <w:rPr>
                <w:sz w:val="19"/>
              </w:rPr>
              <w:t>New items scanned</w:t>
            </w:r>
          </w:p>
        </w:tc>
        <w:tc>
          <w:tcPr>
            <w:tcW w:type="dxa" w:w="5102"/>
          </w:tcPr>
          <w:p>
            <w:r/>
            <w:r>
              <w:rPr>
                <w:sz w:val="19"/>
              </w:rPr>
              <w:t>533</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150</w:t>
            </w:r>
          </w:p>
        </w:tc>
      </w:tr>
      <w:tr>
        <w:tc>
          <w:tcPr>
            <w:tcW w:type="dxa" w:w="4535"/>
            <w:shd w:val="clear" w:color="auto" w:fill="F3F5F7"/>
          </w:tcPr>
          <w:p>
            <w:r/>
            <w:r>
              <w:rPr>
                <w:sz w:val="19"/>
              </w:rPr>
              <w:t>Daily digests archived</w:t>
            </w:r>
          </w:p>
        </w:tc>
        <w:tc>
          <w:tcPr>
            <w:tcW w:type="dxa" w:w="5102"/>
            <w:shd w:val="clear" w:color="auto" w:fill="F3F5F7"/>
          </w:tcPr>
          <w:p>
            <w:r/>
            <w:r>
              <w:rPr>
                <w:sz w:val="19"/>
              </w:rPr>
              <w:t>3</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141 of 150</w:t>
            </w:r>
          </w:p>
        </w:tc>
      </w:tr>
      <w:tr>
        <w:tc>
          <w:tcPr>
            <w:tcW w:type="dxa" w:w="4535"/>
          </w:tcPr>
          <w:p>
            <w:r/>
            <w:r>
              <w:rPr>
                <w:sz w:val="19"/>
              </w:rPr>
              <w:t>Developing stories (two or more reports)</w:t>
            </w:r>
          </w:p>
        </w:tc>
        <w:tc>
          <w:tcPr>
            <w:tcW w:type="dxa" w:w="5102"/>
          </w:tcPr>
          <w:p>
            <w:r/>
            <w:r>
              <w:rPr>
                <w:sz w:val="19"/>
              </w:rPr>
              <w:t>17</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no website more than five stories, several outlets reporting the same event are merged into one story, and copies of one story in several languages count once.</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ListBullet"/>
      </w:pPr>
      <w:r>
        <w:rPr>
          <w:b/>
        </w:rPr>
        <w:t xml:space="preserve">Copyright-safe outputs: </w:t>
      </w:r>
      <w:r>
        <w:t>nothing the news desk publishes or now saves carries a publisher's text beyond the headline (no feed summaries, abstracts or images); each story names the primary source to check the facts with; the AI assistant and the issue brief write in their own words and quote a sentence or two at most, and the assistant ends its drafts with a Check before publishing list; and every page, workbook, e-mail and report carries the five steps of Before you use a story.</w:t>
      </w:r>
    </w:p>
    <w:p>
      <w:pPr>
        <w:pStyle w:val="Heading1"/>
      </w:pPr>
      <w:r>
        <w:rPr>
          <w:color w:val="16324F"/>
        </w:rPr>
        <w:t>Using the stories in the magazine (copyright)</w:t>
      </w:r>
    </w:p>
    <w:p>
      <w:r>
        <w:t>Every story on the website is a lead, not material to reuse. Before you use a story:</w:t>
      </w:r>
    </w:p>
    <w:p>
      <w:pPr>
        <w:spacing w:after="40"/>
        <w:ind w:left="454" w:hanging="340"/>
      </w:pPr>
      <w:r>
        <w:rPr>
          <w:b/>
          <w:color w:val="9A7B1C"/>
        </w:rPr>
        <w:t xml:space="preserve">1.  </w:t>
      </w:r>
      <w:r>
        <w:t>Treat the news item as a lead, not as your source.</w:t>
      </w:r>
    </w:p>
    <w:p>
      <w:pPr>
        <w:spacing w:after="40"/>
        <w:ind w:left="454" w:hanging="340"/>
      </w:pPr>
      <w:r>
        <w:rPr>
          <w:b/>
          <w:color w:val="9A7B1C"/>
        </w:rPr>
        <w:t xml:space="preserve">2.  </w:t>
      </w:r>
      <w:r>
        <w:t>Check the facts with the primary source: the authority, the project owner, the company's press release or the official report (“Check with”, where the news desk found it).</w:t>
      </w:r>
    </w:p>
    <w:p>
      <w:pPr>
        <w:spacing w:after="40"/>
        <w:ind w:left="454" w:hanging="340"/>
      </w:pPr>
      <w:r>
        <w:rPr>
          <w:b/>
          <w:color w:val="9A7B1C"/>
        </w:rPr>
        <w:t xml:space="preserve">3.  </w:t>
      </w:r>
      <w:r>
        <w:t>Write the piece in your own words, with your own angle: the magazine angle is a starting point.</w:t>
      </w:r>
    </w:p>
    <w:p>
      <w:pPr>
        <w:spacing w:after="40"/>
        <w:ind w:left="454" w:hanging="340"/>
      </w:pPr>
      <w:r>
        <w:rPr>
          <w:b/>
          <w:color w:val="9A7B1C"/>
        </w:rPr>
        <w:t xml:space="preserve">4.  </w:t>
      </w:r>
      <w:r>
        <w:t>Quote a sentence or two at most, in quotation marks, naming the publication and linking to it.</w:t>
      </w:r>
    </w:p>
    <w:p>
      <w:pPr>
        <w:spacing w:after="40"/>
        <w:ind w:left="454" w:hanging="340"/>
      </w:pPr>
      <w:r>
        <w:rPr>
          <w:b/>
          <w:color w:val="9A7B1C"/>
        </w:rPr>
        <w:t xml:space="preserve">5.  </w:t>
      </w:r>
      <w:r>
        <w:t>For images, use your own, the project's press-kit photos released for media use, or ask permission; never reuse a source's photos, figures or drawings.</w:t>
      </w:r>
    </w:p>
    <w:p>
      <w:pPr>
        <w:spacing w:before="120"/>
      </w:pPr>
      <w:r>
        <w:rPr>
          <w:b/>
        </w:rPr>
        <w:t>What the news desk does to keep to it:</w:t>
      </w:r>
    </w:p>
    <w:p>
      <w:pPr>
        <w:pStyle w:val="ListBullet"/>
      </w:pPr>
      <w:r>
        <w:t>The website, the downloads, the e-mails and the current archive files in the repository show no publisher's text beyond the headline: no feed summaries, no paper abstracts and no images from the sources. Each headline names its source and links to the original article. (Earlier versions of the archive in the repository's history, saved before 25 October 2026, still hold the feed summaries and abstracts removed that day.)</w:t>
      </w:r>
    </w:p>
    <w:p>
      <w:pPr>
        <w:pStyle w:val="ListBullet"/>
      </w:pPr>
      <w:r>
        <w:t>Headlines from non-English sources are shown in Claude's English translation, labelled as such, with the original headline beside it.</w:t>
      </w:r>
    </w:p>
    <w:p>
      <w:pPr>
        <w:pStyle w:val="ListBullet"/>
      </w:pPr>
      <w:r>
        <w:t>The magazine angle and the note on why a paper matters are written by Claude in its own words, never copied from the article.</w:t>
      </w:r>
    </w:p>
    <w:p>
      <w:pPr>
        <w:pStyle w:val="ListBullet"/>
      </w:pPr>
      <w:r>
        <w:t>For each story Claude rates, it names the primary source to check the facts with (“Check with”).</w:t>
      </w:r>
    </w:p>
    <w:p>
      <w:pPr>
        <w:pStyle w:val="ListBullet"/>
      </w:pPr>
      <w:r>
        <w:t>The AI assistant and the issue brief write in their own words, quote at most a sentence or two with the publication named and linked, and name the primary source to check; for images they recommend your own photos, press-kit photos or asking permission. The assistant ends every draft of a magazine piece with a “Check before publishing” list.</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6 themes covered; the largest is Hazards &amp; Resilience with 18 of 43 stories (42%).</w:t>
      </w:r>
    </w:p>
    <w:p>
      <w:pPr>
        <w:spacing w:after="60"/>
      </w:pPr>
      <w:r>
        <w:rPr>
          <w:b/>
          <w:color w:val="5B6573"/>
        </w:rPr>
        <w:t xml:space="preserve">• </w:t>
      </w:r>
      <w:r>
        <w:t>39 different outlets contributed; the most frequent was Vietnam.vn (4 stories).</w:t>
      </w:r>
    </w:p>
    <w:p>
      <w:pPr>
        <w:spacing w:after="60"/>
      </w:pPr>
      <w:r>
        <w:rPr>
          <w:b/>
          <w:color w:val="5B6573"/>
        </w:rPr>
        <w:t xml:space="preserve">• </w:t>
      </w:r>
      <w:r>
        <w:t>37 stories came from non-English Google News editions.</w:t>
      </w:r>
    </w:p>
    <w:p>
      <w:pPr>
        <w:spacing w:after="60"/>
      </w:pPr>
      <w:r>
        <w:rPr>
          <w:b/>
          <w:color w:val="5B6573"/>
        </w:rPr>
        <w:t xml:space="preserve">• </w:t>
      </w:r>
      <w:r>
        <w:t>28 stories were rated 4 or 5 out of 5.</w:t>
      </w:r>
    </w:p>
    <w:p>
      <w:pPr>
        <w:spacing w:after="60"/>
      </w:pPr>
      <w:r>
        <w:rPr>
          <w:b/>
          <w:color w:val="5B6573"/>
        </w:rPr>
        <w:t xml:space="preserve">• </w:t>
      </w:r>
      <w:r>
        <w:t>41 of the 43 rated stories name a primary source to check the facts with.</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3</w:t>
            </w:r>
          </w:p>
        </w:tc>
        <w:tc>
          <w:tcPr>
            <w:tcW w:type="dxa" w:w="1134"/>
          </w:tcPr>
          <w:p>
            <w:r/>
            <w:r>
              <w:rPr>
                <w:sz w:val="19"/>
              </w:rPr>
              <w:t>150</w:t>
            </w:r>
          </w:p>
        </w:tc>
        <w:tc>
          <w:tcPr>
            <w:tcW w:type="dxa" w:w="1417"/>
          </w:tcPr>
          <w:p>
            <w:r/>
            <w:r>
              <w:rPr>
                <w:sz w:val="19"/>
              </w:rPr>
              <w:t>20</w:t>
            </w:r>
          </w:p>
        </w:tc>
        <w:tc>
          <w:tcPr>
            <w:tcW w:type="dxa" w:w="1701"/>
          </w:tcPr>
          <w:p>
            <w:r/>
            <w:r>
              <w:rPr>
                <w:sz w:val="19"/>
              </w:rPr>
              <w:t>68</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4</w:t>
            </w:r>
          </w:p>
        </w:tc>
        <w:tc>
          <w:tcPr>
            <w:tcW w:type="dxa" w:w="1417"/>
          </w:tcPr>
          <w:p>
            <w:r/>
            <w:r>
              <w:rPr>
                <w:sz w:val="19"/>
              </w:rPr>
              <w:t>3%</w:t>
            </w:r>
          </w:p>
        </w:tc>
        <w:tc>
          <w:tcPr>
            <w:tcW w:type="dxa" w:w="1701"/>
          </w:tcPr>
          <w:p>
            <w:r/>
            <w:r>
              <w:rPr>
                <w:sz w:val="19"/>
              </w:rPr>
              <w:t>1</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5</w:t>
            </w:r>
          </w:p>
        </w:tc>
        <w:tc>
          <w:tcPr>
            <w:tcW w:type="dxa" w:w="1417"/>
            <w:shd w:val="clear" w:color="auto" w:fill="F3F5F7"/>
          </w:tcPr>
          <w:p>
            <w:r/>
            <w:r>
              <w:rPr>
                <w:sz w:val="19"/>
              </w:rPr>
              <w:t>3%</w:t>
            </w:r>
          </w:p>
        </w:tc>
        <w:tc>
          <w:tcPr>
            <w:tcW w:type="dxa" w:w="1701"/>
            <w:shd w:val="clear" w:color="auto" w:fill="F3F5F7"/>
          </w:tcPr>
          <w:p>
            <w:r/>
            <w:r>
              <w:rPr>
                <w:sz w:val="19"/>
              </w:rPr>
              <w:t>3</w:t>
            </w:r>
          </w:p>
        </w:tc>
      </w:tr>
      <w:tr>
        <w:tc>
          <w:tcPr>
            <w:tcW w:type="dxa" w:w="4535"/>
            <w:shd w:val="clear" w:color="auto" w:fill="FAE5DF"/>
          </w:tcPr>
          <w:p>
            <w:r/>
            <w:r>
              <w:rPr>
                <w:b/>
                <w:color w:val="E04F2C"/>
                <w:sz w:val="19"/>
              </w:rPr>
              <w:t>Hazards &amp; Resilience</w:t>
            </w:r>
          </w:p>
        </w:tc>
        <w:tc>
          <w:tcPr>
            <w:tcW w:type="dxa" w:w="1417"/>
          </w:tcPr>
          <w:p>
            <w:r/>
            <w:r>
              <w:rPr>
                <w:sz w:val="19"/>
              </w:rPr>
              <w:t>53</w:t>
            </w:r>
          </w:p>
        </w:tc>
        <w:tc>
          <w:tcPr>
            <w:tcW w:type="dxa" w:w="1417"/>
          </w:tcPr>
          <w:p>
            <w:r/>
            <w:r>
              <w:rPr>
                <w:sz w:val="19"/>
              </w:rPr>
              <w:t>35%</w:t>
            </w:r>
          </w:p>
        </w:tc>
        <w:tc>
          <w:tcPr>
            <w:tcW w:type="dxa" w:w="1701"/>
          </w:tcPr>
          <w:p>
            <w:r/>
            <w:r>
              <w:rPr>
                <w:sz w:val="19"/>
              </w:rPr>
              <w:t>53</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1%</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50</w:t>
            </w:r>
          </w:p>
        </w:tc>
        <w:tc>
          <w:tcPr>
            <w:tcW w:type="dxa" w:w="1417"/>
          </w:tcPr>
          <w:p>
            <w:r/>
            <w:r>
              <w:rPr>
                <w:sz w:val="19"/>
              </w:rPr>
              <w:t>33%</w:t>
            </w:r>
          </w:p>
        </w:tc>
        <w:tc>
          <w:tcPr>
            <w:tcW w:type="dxa" w:w="1701"/>
          </w:tcPr>
          <w:p>
            <w:r/>
            <w:r>
              <w:rPr>
                <w:sz w:val="19"/>
              </w:rPr>
              <w:t>21</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20</w:t>
            </w:r>
          </w:p>
        </w:tc>
        <w:tc>
          <w:tcPr>
            <w:tcW w:type="dxa" w:w="1417"/>
            <w:shd w:val="clear" w:color="auto" w:fill="F3F5F7"/>
          </w:tcPr>
          <w:p>
            <w:r/>
            <w:r>
              <w:rPr>
                <w:sz w:val="19"/>
              </w:rPr>
              <w:t>13%</w:t>
            </w:r>
          </w:p>
        </w:tc>
        <w:tc>
          <w:tcPr>
            <w:tcW w:type="dxa" w:w="1701"/>
            <w:shd w:val="clear" w:color="auto" w:fill="F3F5F7"/>
          </w:tcPr>
          <w:p>
            <w:r/>
            <w:r>
              <w:rPr>
                <w:sz w:val="19"/>
              </w:rPr>
              <w:t>14</w:t>
            </w:r>
          </w:p>
        </w:tc>
      </w:tr>
      <w:tr>
        <w:tc>
          <w:tcPr>
            <w:tcW w:type="dxa" w:w="4535"/>
            <w:shd w:val="clear" w:color="auto" w:fill="F6E2EB"/>
          </w:tcPr>
          <w:p>
            <w:r/>
            <w:r>
              <w:rPr>
                <w:b/>
                <w:color w:val="C23D7B"/>
                <w:sz w:val="19"/>
              </w:rPr>
              <w:t>Characterisation &amp; Modelling</w:t>
            </w:r>
          </w:p>
        </w:tc>
        <w:tc>
          <w:tcPr>
            <w:tcW w:type="dxa" w:w="1417"/>
          </w:tcPr>
          <w:p>
            <w:r/>
            <w:r>
              <w:rPr>
                <w:sz w:val="19"/>
              </w:rPr>
              <w:t>9</w:t>
            </w:r>
          </w:p>
        </w:tc>
        <w:tc>
          <w:tcPr>
            <w:tcW w:type="dxa" w:w="1417"/>
          </w:tcPr>
          <w:p>
            <w:r/>
            <w:r>
              <w:rPr>
                <w:sz w:val="19"/>
              </w:rPr>
              <w:t>6%</w:t>
            </w:r>
          </w:p>
        </w:tc>
        <w:tc>
          <w:tcPr>
            <w:tcW w:type="dxa" w:w="1701"/>
          </w:tcPr>
          <w:p>
            <w:r/>
            <w:r>
              <w:rPr>
                <w:sz w:val="19"/>
              </w:rPr>
              <w:t>7</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7</w:t>
            </w:r>
          </w:p>
        </w:tc>
        <w:tc>
          <w:tcPr>
            <w:tcW w:type="dxa" w:w="1417"/>
            <w:shd w:val="clear" w:color="auto" w:fill="F3F5F7"/>
          </w:tcPr>
          <w:p>
            <w:r/>
            <w:r>
              <w:rPr>
                <w:sz w:val="19"/>
              </w:rPr>
              <w:t>5%</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141 of 150 stories are located in a country of one of ISSMGE's six regions; 9 are global or about several countries and 0 have no location yet. 20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0</w:t>
            </w:r>
          </w:p>
        </w:tc>
        <w:tc>
          <w:tcPr>
            <w:tcW w:type="dxa" w:w="1814"/>
          </w:tcPr>
          <w:p>
            <w:r/>
            <w:r>
              <w:rPr>
                <w:sz w:val="19"/>
              </w:rPr>
              <w:t>0 of 8</w:t>
            </w:r>
          </w:p>
        </w:tc>
        <w:tc>
          <w:tcPr>
            <w:tcW w:type="dxa" w:w="4989"/>
          </w:tcPr>
          <w:p>
            <w:r/>
            <w:r>
              <w:rPr>
                <w:sz w:val="19"/>
              </w:rPr>
              <w:t>Egypt, Kenya, Morocco, Nigeria, South Africa, Tunisia, Zambia, Zimbabwe</w:t>
            </w:r>
          </w:p>
        </w:tc>
      </w:tr>
      <w:tr>
        <w:tc>
          <w:tcPr>
            <w:tcW w:type="dxa" w:w="1814"/>
            <w:shd w:val="clear" w:color="auto" w:fill="F3F5F7"/>
          </w:tcPr>
          <w:p>
            <w:r/>
            <w:r>
              <w:rPr>
                <w:sz w:val="19"/>
              </w:rPr>
              <w:t>Asia</w:t>
            </w:r>
          </w:p>
        </w:tc>
        <w:tc>
          <w:tcPr>
            <w:tcW w:type="dxa" w:w="1020"/>
            <w:shd w:val="clear" w:color="auto" w:fill="F3F5F7"/>
          </w:tcPr>
          <w:p>
            <w:r/>
            <w:r>
              <w:rPr>
                <w:sz w:val="19"/>
              </w:rPr>
              <w:t>68</w:t>
            </w:r>
          </w:p>
        </w:tc>
        <w:tc>
          <w:tcPr>
            <w:tcW w:type="dxa" w:w="1814"/>
            <w:shd w:val="clear" w:color="auto" w:fill="F3F5F7"/>
          </w:tcPr>
          <w:p>
            <w:r/>
            <w:r>
              <w:rPr>
                <w:sz w:val="19"/>
              </w:rPr>
              <w:t>6 of 26</w:t>
            </w:r>
          </w:p>
        </w:tc>
        <w:tc>
          <w:tcPr>
            <w:tcW w:type="dxa" w:w="4989"/>
            <w:shd w:val="clear" w:color="auto" w:fill="F3F5F7"/>
          </w:tcPr>
          <w:p>
            <w:r/>
            <w:r>
              <w:rPr>
                <w:sz w:val="19"/>
              </w:rPr>
              <w:t>Bangladesh, China, Hong Kong, Iran, Iraq, Kazakhstan, Kyrgyzstan, Lebanon, Mongolia, Nepal,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2</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20</w:t>
            </w:r>
          </w:p>
        </w:tc>
        <w:tc>
          <w:tcPr>
            <w:tcW w:type="dxa" w:w="1814"/>
            <w:shd w:val="clear" w:color="auto" w:fill="F3F5F7"/>
          </w:tcPr>
          <w:p>
            <w:r/>
            <w:r>
              <w:rPr>
                <w:sz w:val="19"/>
              </w:rPr>
              <w:t>5 of 37</w:t>
            </w:r>
          </w:p>
        </w:tc>
        <w:tc>
          <w:tcPr>
            <w:tcW w:type="dxa" w:w="4989"/>
            <w:shd w:val="clear" w:color="auto" w:fill="F3F5F7"/>
          </w:tcPr>
          <w:p>
            <w:r/>
            <w:r>
              <w:rPr>
                <w:sz w:val="19"/>
              </w:rPr>
              <w:t>Austria, Belgium, Bosnia and Herzegovina, Bulgaria, Croatia, Cyprus, Czechia, Denmark, Estonia, Finland, France, Georgia, Germany, Greece, Hungary, Iceland, Ireland, Israel, Latvia, Lithuania, Netherlands, North Macedonia, Norway, Poland, Portugal, Romania, Serbia, Slovakia, Slovenia, Spain, Sweden, Switzerland</w:t>
            </w:r>
          </w:p>
        </w:tc>
      </w:tr>
      <w:tr>
        <w:tc>
          <w:tcPr>
            <w:tcW w:type="dxa" w:w="1814"/>
          </w:tcPr>
          <w:p>
            <w:r/>
            <w:r>
              <w:rPr>
                <w:sz w:val="19"/>
              </w:rPr>
              <w:t>North America</w:t>
            </w:r>
          </w:p>
        </w:tc>
        <w:tc>
          <w:tcPr>
            <w:tcW w:type="dxa" w:w="1020"/>
          </w:tcPr>
          <w:p>
            <w:r/>
            <w:r>
              <w:rPr>
                <w:sz w:val="19"/>
              </w:rPr>
              <w:t>24</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27</w:t>
            </w:r>
          </w:p>
        </w:tc>
        <w:tc>
          <w:tcPr>
            <w:tcW w:type="dxa" w:w="1814"/>
            <w:shd w:val="clear" w:color="auto" w:fill="F3F5F7"/>
          </w:tcPr>
          <w:p>
            <w:r/>
            <w:r>
              <w:rPr>
                <w:sz w:val="19"/>
              </w:rPr>
              <w:t>5 of 11</w:t>
            </w:r>
          </w:p>
        </w:tc>
        <w:tc>
          <w:tcPr>
            <w:tcW w:type="dxa" w:w="4989"/>
            <w:shd w:val="clear" w:color="auto" w:fill="F3F5F7"/>
          </w:tcPr>
          <w:p>
            <w:r/>
            <w:r>
              <w:rPr>
                <w:sz w:val="19"/>
              </w:rPr>
              <w:t>Bolivia, Costa Rica, Cuba, Guatemala, Paraguay, Venezuela</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17 developing stories link 44 reports; 17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Paya Terubong landslide, Penang, Malaysia (Oct 2026)</w:t>
            </w:r>
          </w:p>
        </w:tc>
        <w:tc>
          <w:tcPr>
            <w:tcW w:type="dxa" w:w="1928"/>
          </w:tcPr>
          <w:p>
            <w:r/>
            <w:r>
              <w:rPr>
                <w:sz w:val="19"/>
              </w:rPr>
              <w:t>Paya Terubong, Penang, Malaysia</w:t>
            </w:r>
          </w:p>
        </w:tc>
        <w:tc>
          <w:tcPr>
            <w:tcW w:type="dxa" w:w="907"/>
          </w:tcPr>
          <w:p>
            <w:r/>
            <w:r>
              <w:rPr>
                <w:sz w:val="19"/>
              </w:rPr>
              <w:t>7</w:t>
            </w:r>
          </w:p>
        </w:tc>
        <w:tc>
          <w:tcPr>
            <w:tcW w:type="dxa" w:w="1191"/>
          </w:tcPr>
          <w:p>
            <w:r/>
            <w:r>
              <w:rPr>
                <w:sz w:val="19"/>
              </w:rPr>
              <w:t>25 Oct 2026</w:t>
            </w:r>
          </w:p>
        </w:tc>
        <w:tc>
          <w:tcPr>
            <w:tcW w:type="dxa" w:w="1191"/>
          </w:tcPr>
          <w:p>
            <w:r/>
            <w:r>
              <w:rPr>
                <w:sz w:val="19"/>
              </w:rPr>
              <w:t>26 Oct 2026</w:t>
            </w:r>
          </w:p>
        </w:tc>
        <w:tc>
          <w:tcPr>
            <w:tcW w:type="dxa" w:w="1361"/>
          </w:tcPr>
          <w:p>
            <w:r/>
            <w:r>
              <w:rPr>
                <w:sz w:val="19"/>
              </w:rPr>
              <w:t>Event</w:t>
            </w:r>
          </w:p>
        </w:tc>
      </w:tr>
      <w:tr>
        <w:tc>
          <w:tcPr>
            <w:tcW w:type="dxa" w:w="3061"/>
            <w:shd w:val="clear" w:color="auto" w:fill="F3F5F7"/>
          </w:tcPr>
          <w:p>
            <w:r/>
            <w:r>
              <w:rPr>
                <w:sz w:val="19"/>
              </w:rPr>
              <w:t>Phong Nha-Ke Bang 120 m sinkhole discovery, Vietnam</w:t>
            </w:r>
          </w:p>
        </w:tc>
        <w:tc>
          <w:tcPr>
            <w:tcW w:type="dxa" w:w="1928"/>
            <w:shd w:val="clear" w:color="auto" w:fill="F3F5F7"/>
          </w:tcPr>
          <w:p>
            <w:r/>
            <w:r>
              <w:rPr>
                <w:sz w:val="19"/>
              </w:rPr>
              <w:t>Phong Nha-Ke Bang, Vietnam</w:t>
            </w:r>
          </w:p>
        </w:tc>
        <w:tc>
          <w:tcPr>
            <w:tcW w:type="dxa" w:w="907"/>
            <w:shd w:val="clear" w:color="auto" w:fill="F3F5F7"/>
          </w:tcPr>
          <w:p>
            <w:r/>
            <w:r>
              <w:rPr>
                <w:sz w:val="19"/>
              </w:rPr>
              <w:t>4</w:t>
            </w:r>
          </w:p>
        </w:tc>
        <w:tc>
          <w:tcPr>
            <w:tcW w:type="dxa" w:w="1191"/>
            <w:shd w:val="clear" w:color="auto" w:fill="F3F5F7"/>
          </w:tcPr>
          <w:p>
            <w:r/>
            <w:r>
              <w:rPr>
                <w:sz w:val="19"/>
              </w:rPr>
              <w:t>22 Oct 2026</w:t>
            </w:r>
          </w:p>
        </w:tc>
        <w:tc>
          <w:tcPr>
            <w:tcW w:type="dxa" w:w="1191"/>
            <w:shd w:val="clear" w:color="auto" w:fill="F3F5F7"/>
          </w:tcPr>
          <w:p>
            <w:r/>
            <w:r>
              <w:rPr>
                <w:sz w:val="19"/>
              </w:rPr>
              <w:t>25 Oct 2026</w:t>
            </w:r>
          </w:p>
        </w:tc>
        <w:tc>
          <w:tcPr>
            <w:tcW w:type="dxa" w:w="1361"/>
            <w:shd w:val="clear" w:color="auto" w:fill="F3F5F7"/>
          </w:tcPr>
          <w:p>
            <w:r/>
            <w:r>
              <w:rPr>
                <w:sz w:val="19"/>
              </w:rPr>
              <w:t>Update</w:t>
            </w:r>
          </w:p>
        </w:tc>
      </w:tr>
      <w:tr>
        <w:tc>
          <w:tcPr>
            <w:tcW w:type="dxa" w:w="3061"/>
          </w:tcPr>
          <w:p>
            <w:r/>
            <w:r>
              <w:rPr>
                <w:sz w:val="19"/>
              </w:rPr>
              <w:t>Occidental Cozumel hotel sinkhole, Mexico (Oct 2026)</w:t>
            </w:r>
          </w:p>
        </w:tc>
        <w:tc>
          <w:tcPr>
            <w:tcW w:type="dxa" w:w="1928"/>
          </w:tcPr>
          <w:p>
            <w:r/>
            <w:r>
              <w:rPr>
                <w:sz w:val="19"/>
              </w:rPr>
              <w:t>Cozumel, Quintana Roo, Mexico</w:t>
            </w:r>
          </w:p>
        </w:tc>
        <w:tc>
          <w:tcPr>
            <w:tcW w:type="dxa" w:w="907"/>
          </w:tcPr>
          <w:p>
            <w:r/>
            <w:r>
              <w:rPr>
                <w:sz w:val="19"/>
              </w:rPr>
              <w:t>3</w:t>
            </w:r>
          </w:p>
        </w:tc>
        <w:tc>
          <w:tcPr>
            <w:tcW w:type="dxa" w:w="1191"/>
          </w:tcPr>
          <w:p>
            <w:r/>
            <w:r>
              <w:rPr>
                <w:sz w:val="19"/>
              </w:rPr>
              <w:t>24 Oct 2026</w:t>
            </w:r>
          </w:p>
        </w:tc>
        <w:tc>
          <w:tcPr>
            <w:tcW w:type="dxa" w:w="1191"/>
          </w:tcPr>
          <w:p>
            <w:r/>
            <w:r>
              <w:rPr>
                <w:sz w:val="19"/>
              </w:rPr>
              <w:t>25 Oct 2026</w:t>
            </w:r>
          </w:p>
        </w:tc>
        <w:tc>
          <w:tcPr>
            <w:tcW w:type="dxa" w:w="1361"/>
          </w:tcPr>
          <w:p>
            <w:r/>
            <w:r>
              <w:rPr>
                <w:sz w:val="19"/>
              </w:rPr>
              <w:t>Event</w:t>
            </w:r>
          </w:p>
        </w:tc>
      </w:tr>
      <w:tr>
        <w:tc>
          <w:tcPr>
            <w:tcW w:type="dxa" w:w="3061"/>
            <w:shd w:val="clear" w:color="auto" w:fill="F3F5F7"/>
          </w:tcPr>
          <w:p>
            <w:r/>
            <w:r>
              <w:rPr>
                <w:sz w:val="19"/>
              </w:rPr>
              <w:t>Mazatlán malecón wave sinkhole, Mexico (Oct 2026)</w:t>
            </w:r>
          </w:p>
        </w:tc>
        <w:tc>
          <w:tcPr>
            <w:tcW w:type="dxa" w:w="1928"/>
            <w:shd w:val="clear" w:color="auto" w:fill="F3F5F7"/>
          </w:tcPr>
          <w:p>
            <w:r/>
            <w:r>
              <w:rPr>
                <w:sz w:val="19"/>
              </w:rPr>
              <w:t>Monumento a la Mujer Mazatleca, Mazatlán, Mexico</w:t>
            </w:r>
          </w:p>
        </w:tc>
        <w:tc>
          <w:tcPr>
            <w:tcW w:type="dxa" w:w="907"/>
            <w:shd w:val="clear" w:color="auto" w:fill="F3F5F7"/>
          </w:tcPr>
          <w:p>
            <w:r/>
            <w:r>
              <w:rPr>
                <w:sz w:val="19"/>
              </w:rPr>
              <w:t>3</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AI landslide early warning, Vietnam</w:t>
            </w:r>
          </w:p>
        </w:tc>
        <w:tc>
          <w:tcPr>
            <w:tcW w:type="dxa" w:w="1928"/>
          </w:tcPr>
          <w:p>
            <w:r/>
            <w:r>
              <w:rPr>
                <w:sz w:val="19"/>
              </w:rPr>
              <w:t>Vietnam</w:t>
            </w:r>
          </w:p>
        </w:tc>
        <w:tc>
          <w:tcPr>
            <w:tcW w:type="dxa" w:w="907"/>
          </w:tcPr>
          <w:p>
            <w:r/>
            <w:r>
              <w:rPr>
                <w:sz w:val="19"/>
              </w:rPr>
              <w:t>3</w:t>
            </w:r>
          </w:p>
        </w:tc>
        <w:tc>
          <w:tcPr>
            <w:tcW w:type="dxa" w:w="1191"/>
          </w:tcPr>
          <w:p>
            <w:r/>
            <w:r>
              <w:rPr>
                <w:sz w:val="19"/>
              </w:rPr>
              <w:t>24 Oct 2026</w:t>
            </w:r>
          </w:p>
        </w:tc>
        <w:tc>
          <w:tcPr>
            <w:tcW w:type="dxa" w:w="1191"/>
          </w:tcPr>
          <w:p>
            <w:r/>
            <w:r>
              <w:rPr>
                <w:sz w:val="19"/>
              </w:rPr>
              <w:t>24 Oct 2026</w:t>
            </w:r>
          </w:p>
        </w:tc>
        <w:tc>
          <w:tcPr>
            <w:tcW w:type="dxa" w:w="1361"/>
          </w:tcPr>
          <w:p>
            <w:r/>
            <w:r>
              <w:rPr>
                <w:sz w:val="19"/>
              </w:rPr>
              <w:t>Update</w:t>
            </w:r>
          </w:p>
        </w:tc>
      </w:tr>
      <w:tr>
        <w:tc>
          <w:tcPr>
            <w:tcW w:type="dxa" w:w="3061"/>
            <w:shd w:val="clear" w:color="auto" w:fill="F3F5F7"/>
          </w:tcPr>
          <w:p>
            <w:r/>
            <w:r>
              <w:rPr>
                <w:sz w:val="19"/>
              </w:rPr>
              <w:t>Niscemi landslide, Sicily (Jan 2026)</w:t>
            </w:r>
          </w:p>
        </w:tc>
        <w:tc>
          <w:tcPr>
            <w:tcW w:type="dxa" w:w="1928"/>
            <w:shd w:val="clear" w:color="auto" w:fill="F3F5F7"/>
          </w:tcPr>
          <w:p>
            <w:r/>
            <w:r>
              <w:rPr>
                <w:sz w:val="19"/>
              </w:rPr>
              <w:t>Niscemi, Sicily, Italy</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26 Oct 2026</w:t>
            </w:r>
          </w:p>
        </w:tc>
        <w:tc>
          <w:tcPr>
            <w:tcW w:type="dxa" w:w="1361"/>
            <w:shd w:val="clear" w:color="auto" w:fill="F3F5F7"/>
          </w:tcPr>
          <w:p>
            <w:r/>
            <w:r>
              <w:rPr>
                <w:sz w:val="19"/>
              </w:rPr>
              <w:t>Update</w:t>
            </w:r>
          </w:p>
        </w:tc>
      </w:tr>
      <w:tr>
        <w:tc>
          <w:tcPr>
            <w:tcW w:type="dxa" w:w="3061"/>
          </w:tcPr>
          <w:p>
            <w:r/>
            <w:r>
              <w:rPr>
                <w:sz w:val="19"/>
              </w:rPr>
              <w:t>Provincial Road 160 Chay River landslides, Vietnam (Oct 2026)</w:t>
            </w:r>
          </w:p>
        </w:tc>
        <w:tc>
          <w:tcPr>
            <w:tcW w:type="dxa" w:w="1928"/>
          </w:tcPr>
          <w:p>
            <w:r/>
            <w:r>
              <w:rPr>
                <w:sz w:val="19"/>
              </w:rPr>
              <w:t>Provincial Road 160, Chay River, Vietnam</w:t>
            </w:r>
          </w:p>
        </w:tc>
        <w:tc>
          <w:tcPr>
            <w:tcW w:type="dxa" w:w="907"/>
          </w:tcPr>
          <w:p>
            <w:r/>
            <w:r>
              <w:rPr>
                <w:sz w:val="19"/>
              </w:rPr>
              <w:t>2</w:t>
            </w:r>
          </w:p>
        </w:tc>
        <w:tc>
          <w:tcPr>
            <w:tcW w:type="dxa" w:w="1191"/>
          </w:tcPr>
          <w:p>
            <w:r/>
            <w:r>
              <w:rPr>
                <w:sz w:val="19"/>
              </w:rPr>
              <w:t>25 Oct 2026</w:t>
            </w:r>
          </w:p>
        </w:tc>
        <w:tc>
          <w:tcPr>
            <w:tcW w:type="dxa" w:w="1191"/>
          </w:tcPr>
          <w:p>
            <w:r/>
            <w:r>
              <w:rPr>
                <w:sz w:val="19"/>
              </w:rPr>
              <w:t>25 Oct 2026</w:t>
            </w:r>
          </w:p>
        </w:tc>
        <w:tc>
          <w:tcPr>
            <w:tcW w:type="dxa" w:w="1361"/>
          </w:tcPr>
          <w:p>
            <w:r/>
            <w:r>
              <w:rPr>
                <w:sz w:val="19"/>
              </w:rPr>
              <w:t>Response &amp; recovery</w:t>
            </w:r>
          </w:p>
        </w:tc>
      </w:tr>
      <w:tr>
        <w:tc>
          <w:tcPr>
            <w:tcW w:type="dxa" w:w="3061"/>
            <w:shd w:val="clear" w:color="auto" w:fill="F3F5F7"/>
          </w:tcPr>
          <w:p>
            <w:r/>
            <w:r>
              <w:rPr>
                <w:sz w:val="19"/>
              </w:rPr>
              <w:t>Arauco sinkhole, Chile (Oct 2026)</w:t>
            </w:r>
          </w:p>
        </w:tc>
        <w:tc>
          <w:tcPr>
            <w:tcW w:type="dxa" w:w="1928"/>
            <w:shd w:val="clear" w:color="auto" w:fill="F3F5F7"/>
          </w:tcPr>
          <w:p>
            <w:r/>
            <w:r>
              <w:rPr>
                <w:sz w:val="19"/>
              </w:rPr>
              <w:t>Villa El Mirador, Arauco, Chile</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25 Oct 2026</w:t>
            </w:r>
          </w:p>
        </w:tc>
        <w:tc>
          <w:tcPr>
            <w:tcW w:type="dxa" w:w="1361"/>
            <w:shd w:val="clear" w:color="auto" w:fill="F3F5F7"/>
          </w:tcPr>
          <w:p>
            <w:r/>
            <w:r>
              <w:rPr>
                <w:sz w:val="19"/>
              </w:rPr>
              <w:t>Response &amp; recovery</w:t>
            </w:r>
          </w:p>
        </w:tc>
      </w:tr>
      <w:tr>
        <w:tc>
          <w:tcPr>
            <w:tcW w:type="dxa" w:w="3061"/>
          </w:tcPr>
          <w:p>
            <w:r/>
            <w:r>
              <w:rPr>
                <w:sz w:val="19"/>
              </w:rPr>
              <w:t>Voronezh Moskovsky Avenue collector repair, Russia</w:t>
            </w:r>
          </w:p>
        </w:tc>
        <w:tc>
          <w:tcPr>
            <w:tcW w:type="dxa" w:w="1928"/>
          </w:tcPr>
          <w:p>
            <w:r/>
            <w:r>
              <w:rPr>
                <w:sz w:val="19"/>
              </w:rPr>
              <w:t>Moskovsky Avenue, Voronezh, Russia</w:t>
            </w:r>
          </w:p>
        </w:tc>
        <w:tc>
          <w:tcPr>
            <w:tcW w:type="dxa" w:w="907"/>
          </w:tcPr>
          <w:p>
            <w:r/>
            <w:r>
              <w:rPr>
                <w:sz w:val="19"/>
              </w:rPr>
              <w:t>2</w:t>
            </w:r>
          </w:p>
        </w:tc>
        <w:tc>
          <w:tcPr>
            <w:tcW w:type="dxa" w:w="1191"/>
          </w:tcPr>
          <w:p>
            <w:r/>
            <w:r>
              <w:rPr>
                <w:sz w:val="19"/>
              </w:rPr>
              <w:t>24 Oct 2026</w:t>
            </w:r>
          </w:p>
        </w:tc>
        <w:tc>
          <w:tcPr>
            <w:tcW w:type="dxa" w:w="1191"/>
          </w:tcPr>
          <w:p>
            <w:r/>
            <w:r>
              <w:rPr>
                <w:sz w:val="19"/>
              </w:rPr>
              <w:t>25 Oct 2026</w:t>
            </w:r>
          </w:p>
        </w:tc>
        <w:tc>
          <w:tcPr>
            <w:tcW w:type="dxa" w:w="1361"/>
          </w:tcPr>
          <w:p>
            <w:r/>
            <w:r>
              <w:rPr>
                <w:sz w:val="19"/>
              </w:rPr>
              <w:t>Repair &amp; reconstruction</w:t>
            </w:r>
          </w:p>
        </w:tc>
      </w:tr>
      <w:tr>
        <w:tc>
          <w:tcPr>
            <w:tcW w:type="dxa" w:w="3061"/>
            <w:shd w:val="clear" w:color="auto" w:fill="F3F5F7"/>
          </w:tcPr>
          <w:p>
            <w:r/>
            <w:r>
              <w:rPr>
                <w:sz w:val="19"/>
              </w:rPr>
              <w:t>Terrazas del Valle bridge sinkhole, Tijuana, Mexico</w:t>
            </w:r>
          </w:p>
        </w:tc>
        <w:tc>
          <w:tcPr>
            <w:tcW w:type="dxa" w:w="1928"/>
            <w:shd w:val="clear" w:color="auto" w:fill="F3F5F7"/>
          </w:tcPr>
          <w:p>
            <w:r/>
            <w:r>
              <w:rPr>
                <w:sz w:val="19"/>
              </w:rPr>
              <w:t>Terrazas del Valle bridge, Mexico</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bl>
    <w:p/>
    <w:p>
      <w:pPr>
        <w:pStyle w:val="Heading1"/>
      </w:pPr>
      <w:r>
        <w:rPr>
          <w:color w:val="16324F"/>
        </w:rPr>
        <w:t>8. Research papers (Q4 2026)</w:t>
      </w:r>
    </w:p>
    <w:p>
      <w:r>
        <w:t>31 new papers from 14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5</w:t>
            </w:r>
          </w:p>
        </w:tc>
      </w:tr>
      <w:tr>
        <w:tc>
          <w:tcPr>
            <w:tcW w:type="dxa" w:w="6803"/>
            <w:shd w:val="clear" w:color="auto" w:fill="F3F5F7"/>
          </w:tcPr>
          <w:p>
            <w:r/>
            <w:r>
              <w:rPr>
                <w:sz w:val="19"/>
              </w:rPr>
              <w:t>Acta Geotechnica</w:t>
            </w:r>
          </w:p>
        </w:tc>
        <w:tc>
          <w:tcPr>
            <w:tcW w:type="dxa" w:w="1701"/>
            <w:shd w:val="clear" w:color="auto" w:fill="F3F5F7"/>
          </w:tcPr>
          <w:p>
            <w:r/>
            <w:r>
              <w:rPr>
                <w:sz w:val="19"/>
              </w:rPr>
              <w:t>4</w:t>
            </w:r>
          </w:p>
        </w:tc>
      </w:tr>
      <w:tr>
        <w:tc>
          <w:tcPr>
            <w:tcW w:type="dxa" w:w="6803"/>
          </w:tcPr>
          <w:p>
            <w:r/>
            <w:r>
              <w:rPr>
                <w:sz w:val="19"/>
              </w:rPr>
              <w:t>Computers and Geotechnics</w:t>
            </w:r>
          </w:p>
        </w:tc>
        <w:tc>
          <w:tcPr>
            <w:tcW w:type="dxa" w:w="1701"/>
          </w:tcPr>
          <w:p>
            <w:r/>
            <w:r>
              <w:rPr>
                <w:sz w:val="19"/>
              </w:rPr>
              <w:t>4</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3</w:t>
            </w:r>
          </w:p>
        </w:tc>
      </w:tr>
      <w:tr>
        <w:tc>
          <w:tcPr>
            <w:tcW w:type="dxa" w:w="6803"/>
          </w:tcPr>
          <w:p>
            <w:r/>
            <w:r>
              <w:rPr>
                <w:sz w:val="19"/>
              </w:rPr>
              <w:t>Engineering Geology</w:t>
            </w:r>
          </w:p>
        </w:tc>
        <w:tc>
          <w:tcPr>
            <w:tcW w:type="dxa" w:w="1701"/>
          </w:tcPr>
          <w:p>
            <w:r/>
            <w:r>
              <w:rPr>
                <w:sz w:val="19"/>
              </w:rPr>
              <w:t>3</w:t>
            </w:r>
          </w:p>
        </w:tc>
      </w:tr>
      <w:tr>
        <w:tc>
          <w:tcPr>
            <w:tcW w:type="dxa" w:w="6803"/>
            <w:shd w:val="clear" w:color="auto" w:fill="F3F5F7"/>
          </w:tcPr>
          <w:p>
            <w:r/>
            <w:r>
              <w:rPr>
                <w:sz w:val="19"/>
              </w:rPr>
              <w:t>Bulletin of Engineering Geology and the Environment</w:t>
            </w:r>
          </w:p>
        </w:tc>
        <w:tc>
          <w:tcPr>
            <w:tcW w:type="dxa" w:w="1701"/>
            <w:shd w:val="clear" w:color="auto" w:fill="F3F5F7"/>
          </w:tcPr>
          <w:p>
            <w:r/>
            <w:r>
              <w:rPr>
                <w:sz w:val="19"/>
              </w:rPr>
              <w:t>2</w:t>
            </w:r>
          </w:p>
        </w:tc>
      </w:tr>
      <w:tr>
        <w:tc>
          <w:tcPr>
            <w:tcW w:type="dxa" w:w="6803"/>
          </w:tcPr>
          <w:p>
            <w:r/>
            <w:r>
              <w:rPr>
                <w:sz w:val="19"/>
              </w:rPr>
              <w:t>Transportation Geotechnics</w:t>
            </w:r>
          </w:p>
        </w:tc>
        <w:tc>
          <w:tcPr>
            <w:tcW w:type="dxa" w:w="1701"/>
          </w:tcPr>
          <w:p>
            <w:r/>
            <w:r>
              <w:rPr>
                <w:sz w:val="19"/>
              </w:rPr>
              <w:t>2</w:t>
            </w:r>
          </w:p>
        </w:tc>
      </w:tr>
      <w:tr>
        <w:tc>
          <w:tcPr>
            <w:tcW w:type="dxa" w:w="6803"/>
            <w:shd w:val="clear" w:color="auto" w:fill="F3F5F7"/>
          </w:tcPr>
          <w:p>
            <w:r/>
            <w:r>
              <w:rPr>
                <w:sz w:val="19"/>
              </w:rPr>
              <w:t>Tunnelling and Underground Space Technology</w:t>
            </w:r>
          </w:p>
        </w:tc>
        <w:tc>
          <w:tcPr>
            <w:tcW w:type="dxa" w:w="1701"/>
            <w:shd w:val="clear" w:color="auto" w:fill="F3F5F7"/>
          </w:tcPr>
          <w:p>
            <w:r/>
            <w:r>
              <w:rPr>
                <w:sz w:val="19"/>
              </w:rPr>
              <w:t>2</w:t>
            </w:r>
          </w:p>
        </w:tc>
      </w:tr>
      <w:tr>
        <w:tc>
          <w:tcPr>
            <w:tcW w:type="dxa" w:w="6803"/>
          </w:tcPr>
          <w:p>
            <w:r/>
            <w:r>
              <w:rPr>
                <w:sz w:val="19"/>
              </w:rPr>
              <w:t>Géotechnique</w:t>
            </w:r>
          </w:p>
        </w:tc>
        <w:tc>
          <w:tcPr>
            <w:tcW w:type="dxa" w:w="1701"/>
          </w:tcPr>
          <w:p>
            <w:r/>
            <w:r>
              <w:rPr>
                <w:sz w:val="19"/>
              </w:rPr>
              <w:t>1</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Georisk: Assessment and Management of Risk for Engineered Systems and Geohazards</w:t>
            </w:r>
          </w:p>
        </w:tc>
        <w:tc>
          <w:tcPr>
            <w:tcW w:type="dxa" w:w="1701"/>
          </w:tcPr>
          <w:p>
            <w:r/>
            <w:r>
              <w:rPr>
                <w:sz w:val="19"/>
              </w:rPr>
              <w:t>1</w:t>
            </w:r>
          </w:p>
        </w:tc>
      </w:tr>
      <w:tr>
        <w:tc>
          <w:tcPr>
            <w:tcW w:type="dxa" w:w="6803"/>
            <w:shd w:val="clear" w:color="auto" w:fill="F3F5F7"/>
          </w:tcPr>
          <w:p>
            <w:r/>
            <w:r>
              <w:rPr>
                <w:sz w:val="19"/>
              </w:rPr>
              <w:t>Underground Space</w:t>
            </w:r>
          </w:p>
        </w:tc>
        <w:tc>
          <w:tcPr>
            <w:tcW w:type="dxa" w:w="1701"/>
            <w:shd w:val="clear" w:color="auto" w:fill="F3F5F7"/>
          </w:tcPr>
          <w:p>
            <w:r/>
            <w:r>
              <w:rPr>
                <w:sz w:val="19"/>
              </w:rPr>
              <w:t>1</w:t>
            </w:r>
          </w:p>
        </w:tc>
      </w:tr>
    </w:tbl>
    <w:p/>
    <w:p>
      <w:pPr>
        <w:pStyle w:val="ListBullet"/>
      </w:pPr>
      <w:hyperlink r:id="rId10">
        <w:r>
          <w:rPr>
            <w:b/>
            <w:color w:val="1D5A8A"/>
            <w:u w:val="single"/>
          </w:rPr>
          <w:t>A modified triaxial test for characterising soil–structure interface behaviour</w:t>
        </w:r>
      </w:hyperlink>
      <w:r>
        <w:t xml:space="preserve"> — Acta Geotechnica, 2026-10-25. A modified triaxial set-up that yields interface friction comparable to direct shear lets labs measure soil-structure interface strength with equipment they already own.</w:t>
      </w:r>
    </w:p>
    <w:p>
      <w:pPr>
        <w:pStyle w:val="ListBullet"/>
      </w:pPr>
      <w:hyperlink r:id="rId11">
        <w:r>
          <w:rPr>
            <w:b/>
            <w:color w:val="1D5A8A"/>
            <w:u w:val="single"/>
          </w:rPr>
          <w:t>Fine particle migration of gravel-sand mixtures under coupled hydraulic gradient and cyclic loading</w:t>
        </w:r>
      </w:hyperlink>
      <w:r>
        <w:t xml:space="preserve"> — Acta Geotechnica, 2026-10-25. Showing how fines wash out of gravel-sand mixtures under combined seepage and cyclic loading flags internal erosion risks for dams, levees and filters that engineers must assess.</w:t>
      </w:r>
    </w:p>
    <w:p>
      <w:pPr>
        <w:pStyle w:val="ListBullet"/>
      </w:pPr>
      <w:hyperlink r:id="rId12">
        <w:r>
          <w:rPr>
            <w:b/>
            <w:color w:val="1D5A8A"/>
            <w:u w:val="single"/>
          </w:rPr>
          <w:t>Seismic performance assessment of high-speed railway track-bridge system with CFRP-repaired piers under near-fault pulse-like ground motions</w:t>
        </w:r>
      </w:hyperlink>
      <w:r>
        <w:t xml:space="preserve"> — Soil Dynamics and Earthquake Engineering, 2026-10-26. Seismic response results for CFRP-repaired bridge piers under pulse-like motions help engineers judge whether repair strategies protect high-speed rail track-bridge systems.</w:t>
      </w:r>
    </w:p>
    <w:p>
      <w:pPr>
        <w:pStyle w:val="ListBullet"/>
      </w:pPr>
      <w:hyperlink r:id="rId13">
        <w:r>
          <w:rPr>
            <w:b/>
            <w:color w:val="1D5A8A"/>
            <w:u w:val="single"/>
          </w:rPr>
          <w:t>Secondary Compression of Deep Foundations in Carbonate Soils: An InSAR Study of Sunny Isles, Florida</w:t>
        </w:r>
      </w:hyperlink>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hyperlink r:id="rId14">
        <w:r>
          <w:rPr>
            <w:b/>
            <w:color w:val="1D5A8A"/>
            <w:u w:val="single"/>
          </w:rPr>
          <w:t>Probabilistic State Parameter–Based Liquefaction Triggering Model</w:t>
        </w:r>
      </w:hyperlink>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hyperlink r:id="rId15">
        <w:r>
          <w:rPr>
            <w:b/>
            <w:color w:val="1D5A8A"/>
            <w:u w:val="single"/>
          </w:rPr>
          <w:t>Experimental investigation on deformation behavior of pile-supported embankments with geogrid-tire cells reinforcement</w:t>
        </w:r>
      </w:hyperlink>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hyperlink r:id="rId16">
        <w:r>
          <w:rPr>
            <w:b/>
            <w:color w:val="1D5A8A"/>
            <w:u w:val="single"/>
          </w:rPr>
          <w:t>From rockfall to landslide: early warning based on video monitoring in open-pit mines</w:t>
        </w:r>
      </w:hyperlink>
      <w:r>
        <w:t xml:space="preserve"> — Landslides, 2026-10-20. Video monitoring workflows that link rockfall events to developing landslides give open-pit mine operators a practical early-warning approach they could deploy now.</w:t>
      </w:r>
    </w:p>
    <w:p>
      <w:pPr>
        <w:pStyle w:val="ListBullet"/>
      </w:pPr>
      <w:hyperlink r:id="rId17">
        <w:r>
          <w:rPr>
            <w:b/>
            <w:color w:val="1D5A8A"/>
            <w:u w:val="single"/>
          </w:rPr>
          <w:t>Stiffness compatibility in geosynthetic-reinforced column-supported embankment widening over soft ground: numerical insights and a design framework</w:t>
        </w:r>
      </w:hyperlink>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Heading1"/>
      </w:pPr>
      <w:r>
        <w:rPr>
          <w:color w:val="16324F"/>
        </w:rPr>
        <w:t>9. Issue briefs</w:t>
      </w:r>
    </w:p>
    <w:p>
      <w:r>
        <w:t>Claude drafts a brief for each issue window: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pPr>
        <w:pStyle w:val="Heading1"/>
      </w:pPr>
      <w:r>
        <w:rPr>
          <w:color w:val="16324F"/>
        </w:rPr>
        <w:t>10. Events calendar</w:t>
      </w:r>
    </w:p>
    <w:p>
      <w:r>
        <w:t>The calendar holds 45 events: 6 from the editors' list (data/events.yaml) and 39 found by the weekly refresh, last refreshed on 25 Oct 2026.</w:t>
      </w:r>
    </w:p>
    <w:p>
      <w:pPr>
        <w:pStyle w:val="Heading2"/>
      </w:pPr>
      <w:r>
        <w:rPr>
          <w:color w:val="23466B"/>
        </w:rPr>
        <w:t>Deadlines in the next 90 days (calls for papers, registration)</w:t>
      </w:r>
    </w:p>
    <w:tbl>
      <w:tblPr>
        <w:tblStyle w:val="TableGrid"/>
        <w:tblW w:type="auto" w:w="0"/>
        <w:jc w:val="center"/>
        <w:tblLayout w:type="fixed"/>
        <w:tblLook w:firstColumn="1" w:firstRow="1" w:lastColumn="0" w:lastRow="0" w:noHBand="0" w:noVBand="1" w:val="04A0"/>
      </w:tblPr>
      <w:tblGrid>
        <w:gridCol w:w="1474"/>
        <w:gridCol w:w="1134"/>
        <w:gridCol w:w="2494"/>
        <w:gridCol w:w="4535"/>
      </w:tblGrid>
      <w:tr>
        <w:tc>
          <w:tcPr>
            <w:tcW w:type="dxa" w:w="1474"/>
            <w:shd w:val="clear" w:color="auto" w:fill="16324F"/>
          </w:tcPr>
          <w:p>
            <w:r/>
            <w:r>
              <w:rPr>
                <w:b/>
                <w:color w:val="FFFFFF"/>
                <w:sz w:val="19"/>
              </w:rPr>
              <w:t>Deadline</w:t>
            </w:r>
          </w:p>
        </w:tc>
        <w:tc>
          <w:tcPr>
            <w:tcW w:type="dxa" w:w="1134"/>
            <w:shd w:val="clear" w:color="auto" w:fill="16324F"/>
          </w:tcPr>
          <w:p>
            <w:r/>
            <w:r>
              <w:rPr>
                <w:b/>
                <w:color w:val="FFFFFF"/>
                <w:sz w:val="19"/>
              </w:rPr>
              <w:t>Days left</w:t>
            </w:r>
          </w:p>
        </w:tc>
        <w:tc>
          <w:tcPr>
            <w:tcW w:type="dxa" w:w="2494"/>
            <w:shd w:val="clear" w:color="auto" w:fill="16324F"/>
          </w:tcPr>
          <w:p>
            <w:r/>
            <w:r>
              <w:rPr>
                <w:b/>
                <w:color w:val="FFFFFF"/>
                <w:sz w:val="19"/>
              </w:rPr>
              <w:t>What is due</w:t>
            </w:r>
          </w:p>
        </w:tc>
        <w:tc>
          <w:tcPr>
            <w:tcW w:type="dxa" w:w="4535"/>
            <w:shd w:val="clear" w:color="auto" w:fill="16324F"/>
          </w:tcPr>
          <w:p>
            <w:r/>
            <w:r>
              <w:rPr>
                <w:b/>
                <w:color w:val="FFFFFF"/>
                <w:sz w:val="19"/>
              </w:rPr>
              <w:t>Event</w:t>
            </w:r>
          </w:p>
        </w:tc>
      </w:tr>
      <w:tr>
        <w:tc>
          <w:tcPr>
            <w:tcW w:type="dxa" w:w="1474"/>
          </w:tcPr>
          <w:p>
            <w:r/>
            <w:r>
              <w:rPr>
                <w:sz w:val="19"/>
              </w:rPr>
              <w:t>11 Dec 2026</w:t>
            </w:r>
          </w:p>
        </w:tc>
        <w:tc>
          <w:tcPr>
            <w:tcW w:type="dxa" w:w="1134"/>
          </w:tcPr>
          <w:p>
            <w:r/>
            <w:r>
              <w:rPr>
                <w:sz w:val="19"/>
              </w:rPr>
              <w:t>46</w:t>
            </w:r>
          </w:p>
        </w:tc>
        <w:tc>
          <w:tcPr>
            <w:tcW w:type="dxa" w:w="2494"/>
          </w:tcPr>
          <w:p>
            <w:r/>
            <w:r>
              <w:rPr>
                <w:sz w:val="19"/>
              </w:rPr>
              <w:t>Notification of accepted abstracts</w:t>
            </w:r>
          </w:p>
        </w:tc>
        <w:tc>
          <w:tcPr>
            <w:tcW w:type="dxa" w:w="4535"/>
          </w:tcPr>
          <w:p>
            <w:r/>
            <w:r>
              <w:rPr>
                <w:sz w:val="19"/>
              </w:rPr>
              <w:t>NUMGE 2027</w:t>
            </w:r>
          </w:p>
        </w:tc>
      </w:tr>
    </w:tbl>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26 Oct 2026</w:t>
            </w:r>
          </w:p>
        </w:tc>
        <w:tc>
          <w:tcPr>
            <w:tcW w:type="dxa" w:w="4535"/>
          </w:tcPr>
          <w:p>
            <w:r/>
            <w:r>
              <w:rPr>
                <w:sz w:val="19"/>
              </w:rPr>
              <w:t>Slope Stability 2026 – Slope for Safety Performance – an ISRM Specialized Conference</w:t>
            </w:r>
          </w:p>
        </w:tc>
        <w:tc>
          <w:tcPr>
            <w:tcW w:type="dxa" w:w="2041"/>
          </w:tcPr>
          <w:p>
            <w:r/>
            <w:r>
              <w:rPr>
                <w:sz w:val="19"/>
              </w:rPr>
              <w:t>Lima, Peru</w:t>
            </w:r>
          </w:p>
        </w:tc>
        <w:tc>
          <w:tcPr>
            <w:tcW w:type="dxa" w:w="1701"/>
          </w:tcPr>
          <w:p>
            <w:r/>
            <w:r>
              <w:rPr>
                <w:sz w:val="19"/>
              </w:rPr>
              <w:t>Other conference</w:t>
            </w:r>
          </w:p>
        </w:tc>
      </w:tr>
      <w:tr>
        <w:tc>
          <w:tcPr>
            <w:tcW w:type="dxa" w:w="1361"/>
            <w:shd w:val="clear" w:color="auto" w:fill="F3F5F7"/>
          </w:tcPr>
          <w:p>
            <w:r/>
            <w:r>
              <w:rPr>
                <w:sz w:val="19"/>
              </w:rPr>
              <w:t>2 Nov 2026</w:t>
            </w:r>
          </w:p>
        </w:tc>
        <w:tc>
          <w:tcPr>
            <w:tcW w:type="dxa" w:w="4535"/>
            <w:shd w:val="clear" w:color="auto" w:fill="F3F5F7"/>
          </w:tcPr>
          <w:p>
            <w:r/>
            <w:r>
              <w:rPr>
                <w:sz w:val="19"/>
              </w:rPr>
              <w:t>DFI's 51st Annual Conference on Deep Foundations</w:t>
            </w:r>
          </w:p>
        </w:tc>
        <w:tc>
          <w:tcPr>
            <w:tcW w:type="dxa" w:w="2041"/>
            <w:shd w:val="clear" w:color="auto" w:fill="F3F5F7"/>
          </w:tcPr>
          <w:p>
            <w:r/>
            <w:r>
              <w:rPr>
                <w:sz w:val="19"/>
              </w:rPr>
              <w:t>Orlando, United States</w:t>
            </w:r>
          </w:p>
        </w:tc>
        <w:tc>
          <w:tcPr>
            <w:tcW w:type="dxa" w:w="1701"/>
            <w:shd w:val="clear" w:color="auto" w:fill="F3F5F7"/>
          </w:tcPr>
          <w:p>
            <w:r/>
            <w:r>
              <w:rPr>
                <w:sz w:val="19"/>
              </w:rPr>
              <w:t>Other conference</w:t>
            </w:r>
          </w:p>
        </w:tc>
      </w:tr>
      <w:tr>
        <w:tc>
          <w:tcPr>
            <w:tcW w:type="dxa" w:w="1361"/>
          </w:tcPr>
          <w:p>
            <w:r/>
            <w:r>
              <w:rPr>
                <w:sz w:val="19"/>
              </w:rPr>
              <w:t>4 Nov 2026</w:t>
            </w:r>
          </w:p>
        </w:tc>
        <w:tc>
          <w:tcPr>
            <w:tcW w:type="dxa" w:w="4535"/>
          </w:tcPr>
          <w:p>
            <w:r/>
            <w:r>
              <w:rPr>
                <w:sz w:val="19"/>
              </w:rPr>
              <w:t>2026 Geotechnical Engineering Proceedings Lecture: Strains in sprayed concrete tunnel linings at Heathrow Terminal 4 and back-calculation of stress</w:t>
            </w:r>
          </w:p>
        </w:tc>
        <w:tc>
          <w:tcPr>
            <w:tcW w:type="dxa" w:w="2041"/>
          </w:tcPr>
          <w:p>
            <w:r/>
            <w:r>
              <w:rPr>
                <w:sz w:val="19"/>
              </w:rPr>
              <w:t>London, United Kingdom</w:t>
            </w:r>
          </w:p>
        </w:tc>
        <w:tc>
          <w:tcPr>
            <w:tcW w:type="dxa" w:w="1701"/>
          </w:tcPr>
          <w:p>
            <w:r/>
            <w:r>
              <w:rPr>
                <w:sz w:val="19"/>
              </w:rPr>
              <w:t>Course / webinar</w:t>
            </w:r>
          </w:p>
        </w:tc>
      </w:tr>
      <w:tr>
        <w:tc>
          <w:tcPr>
            <w:tcW w:type="dxa" w:w="1361"/>
            <w:shd w:val="clear" w:color="auto" w:fill="F3F5F7"/>
          </w:tcPr>
          <w:p>
            <w:r/>
            <w:r>
              <w:rPr>
                <w:sz w:val="19"/>
              </w:rPr>
              <w:t>4 Nov 2026</w:t>
            </w:r>
          </w:p>
        </w:tc>
        <w:tc>
          <w:tcPr>
            <w:tcW w:type="dxa" w:w="4535"/>
            <w:shd w:val="clear" w:color="auto" w:fill="F3F5F7"/>
          </w:tcPr>
          <w:p>
            <w:r/>
            <w:r>
              <w:rPr>
                <w:sz w:val="19"/>
              </w:rPr>
              <w:t>International Conference on Performance-Based Design in Earthquake Geotechnical Engineering</w:t>
            </w:r>
          </w:p>
        </w:tc>
        <w:tc>
          <w:tcPr>
            <w:tcW w:type="dxa" w:w="2041"/>
            <w:shd w:val="clear" w:color="auto" w:fill="F3F5F7"/>
          </w:tcPr>
          <w:p>
            <w:r/>
            <w:r>
              <w:rPr>
                <w:sz w:val="19"/>
              </w:rPr>
              <w:t>Puerto Varas, Chile</w:t>
            </w:r>
          </w:p>
        </w:tc>
        <w:tc>
          <w:tcPr>
            <w:tcW w:type="dxa" w:w="1701"/>
            <w:shd w:val="clear" w:color="auto" w:fill="F3F5F7"/>
          </w:tcPr>
          <w:p>
            <w:r/>
            <w:r>
              <w:rPr>
                <w:sz w:val="19"/>
              </w:rPr>
              <w:t>ISSMGE-supported</w:t>
            </w:r>
          </w:p>
        </w:tc>
      </w:tr>
      <w:tr>
        <w:tc>
          <w:tcPr>
            <w:tcW w:type="dxa" w:w="1361"/>
          </w:tcPr>
          <w:p>
            <w:r/>
            <w:r>
              <w:rPr>
                <w:sz w:val="19"/>
              </w:rPr>
              <w:t>10 Nov 2026</w:t>
            </w:r>
          </w:p>
        </w:tc>
        <w:tc>
          <w:tcPr>
            <w:tcW w:type="dxa" w:w="4535"/>
          </w:tcPr>
          <w:p>
            <w:r/>
            <w:r>
              <w:rPr>
                <w:sz w:val="19"/>
              </w:rPr>
              <w:t>BGA ECG Advanced Laboratory Testing &amp; Dynamic Behaviour of Soils</w:t>
            </w:r>
          </w:p>
        </w:tc>
        <w:tc>
          <w:tcPr>
            <w:tcW w:type="dxa" w:w="2041"/>
          </w:tcPr>
          <w:p>
            <w:r/>
            <w:r>
              <w:rPr>
                <w:sz w:val="19"/>
              </w:rPr>
              <w:t>Online</w:t>
            </w:r>
          </w:p>
        </w:tc>
        <w:tc>
          <w:tcPr>
            <w:tcW w:type="dxa" w:w="1701"/>
          </w:tcPr>
          <w:p>
            <w:r/>
            <w:r>
              <w:rPr>
                <w:sz w:val="19"/>
              </w:rPr>
              <w:t>Course / webinar</w:t>
            </w:r>
          </w:p>
        </w:tc>
      </w:tr>
      <w:tr>
        <w:tc>
          <w:tcPr>
            <w:tcW w:type="dxa" w:w="1361"/>
            <w:shd w:val="clear" w:color="auto" w:fill="F3F5F7"/>
          </w:tcPr>
          <w:p>
            <w:r/>
            <w:r>
              <w:rPr>
                <w:sz w:val="19"/>
              </w:rPr>
              <w:t>10 Nov 2026</w:t>
            </w:r>
          </w:p>
        </w:tc>
        <w:tc>
          <w:tcPr>
            <w:tcW w:type="dxa" w:w="4535"/>
            <w:shd w:val="clear" w:color="auto" w:fill="F3F5F7"/>
          </w:tcPr>
          <w:p>
            <w:r/>
            <w:r>
              <w:rPr>
                <w:sz w:val="19"/>
              </w:rPr>
              <w:t>ITACET Lunchtime Lecture Series #60</w:t>
            </w:r>
          </w:p>
        </w:tc>
        <w:tc>
          <w:tcPr>
            <w:tcW w:type="dxa" w:w="2041"/>
            <w:shd w:val="clear" w:color="auto" w:fill="F3F5F7"/>
          </w:tcPr>
          <w:p>
            <w:r/>
            <w:r>
              <w:rPr>
                <w:sz w:val="19"/>
              </w:rPr>
              <w:t>—</w:t>
            </w:r>
          </w:p>
        </w:tc>
        <w:tc>
          <w:tcPr>
            <w:tcW w:type="dxa" w:w="1701"/>
            <w:shd w:val="clear" w:color="auto" w:fill="F3F5F7"/>
          </w:tcPr>
          <w:p>
            <w:r/>
            <w:r>
              <w:rPr>
                <w:sz w:val="19"/>
              </w:rPr>
              <w:t>Course / webinar</w:t>
            </w:r>
          </w:p>
        </w:tc>
      </w:tr>
      <w:tr>
        <w:tc>
          <w:tcPr>
            <w:tcW w:type="dxa" w:w="1361"/>
          </w:tcPr>
          <w:p>
            <w:r/>
            <w:r>
              <w:rPr>
                <w:sz w:val="19"/>
              </w:rPr>
              <w:t>10 Nov 2026</w:t>
            </w:r>
          </w:p>
        </w:tc>
        <w:tc>
          <w:tcPr>
            <w:tcW w:type="dxa" w:w="4535"/>
          </w:tcPr>
          <w:p>
            <w:r/>
            <w:r>
              <w:rPr>
                <w:sz w:val="19"/>
              </w:rPr>
              <w:t>Woh Hup Distinguished Lecture by Prof. Kenichi Soga</w:t>
            </w:r>
          </w:p>
        </w:tc>
        <w:tc>
          <w:tcPr>
            <w:tcW w:type="dxa" w:w="2041"/>
          </w:tcPr>
          <w:p>
            <w:r/>
            <w:r>
              <w:rPr>
                <w:sz w:val="19"/>
              </w:rPr>
              <w:t>—</w:t>
            </w:r>
          </w:p>
        </w:tc>
        <w:tc>
          <w:tcPr>
            <w:tcW w:type="dxa" w:w="1701"/>
          </w:tcPr>
          <w:p>
            <w:r/>
            <w:r>
              <w:rPr>
                <w:sz w:val="19"/>
              </w:rPr>
              <w:t>Course / webinar</w:t>
            </w:r>
          </w:p>
        </w:tc>
      </w:tr>
      <w:tr>
        <w:tc>
          <w:tcPr>
            <w:tcW w:type="dxa" w:w="1361"/>
            <w:shd w:val="clear" w:color="auto" w:fill="F3F5F7"/>
          </w:tcPr>
          <w:p>
            <w:r/>
            <w:r>
              <w:rPr>
                <w:sz w:val="19"/>
              </w:rPr>
              <w:t>12 Nov 2026</w:t>
            </w:r>
          </w:p>
        </w:tc>
        <w:tc>
          <w:tcPr>
            <w:tcW w:type="dxa" w:w="4535"/>
            <w:shd w:val="clear" w:color="auto" w:fill="F3F5F7"/>
          </w:tcPr>
          <w:p>
            <w:r/>
            <w:r>
              <w:rPr>
                <w:sz w:val="19"/>
              </w:rPr>
              <w:t>10th Conference of the Croatian Geotechnical Society: Geotechnical Engineering in Soft Rocks and Heterogeneous Rock Masses – an ISRM Specialized Conference</w:t>
            </w:r>
          </w:p>
        </w:tc>
        <w:tc>
          <w:tcPr>
            <w:tcW w:type="dxa" w:w="2041"/>
            <w:shd w:val="clear" w:color="auto" w:fill="F3F5F7"/>
          </w:tcPr>
          <w:p>
            <w:r/>
            <w:r>
              <w:rPr>
                <w:sz w:val="19"/>
              </w:rPr>
              <w:t>Split, Croatia</w:t>
            </w:r>
          </w:p>
        </w:tc>
        <w:tc>
          <w:tcPr>
            <w:tcW w:type="dxa" w:w="1701"/>
            <w:shd w:val="clear" w:color="auto" w:fill="F3F5F7"/>
          </w:tcPr>
          <w:p>
            <w:r/>
            <w:r>
              <w:rPr>
                <w:sz w:val="19"/>
              </w:rPr>
              <w:t>Other conference</w:t>
            </w:r>
          </w:p>
        </w:tc>
      </w:tr>
      <w:tr>
        <w:tc>
          <w:tcPr>
            <w:tcW w:type="dxa" w:w="1361"/>
          </w:tcPr>
          <w:p>
            <w:r/>
            <w:r>
              <w:rPr>
                <w:sz w:val="19"/>
              </w:rPr>
              <w:t>12 Nov 2026</w:t>
            </w:r>
          </w:p>
        </w:tc>
        <w:tc>
          <w:tcPr>
            <w:tcW w:type="dxa" w:w="4535"/>
          </w:tcPr>
          <w:p>
            <w:r/>
            <w:r>
              <w:rPr>
                <w:sz w:val="19"/>
              </w:rPr>
              <w:t>Tunnel Turkey 2026</w:t>
            </w:r>
          </w:p>
        </w:tc>
        <w:tc>
          <w:tcPr>
            <w:tcW w:type="dxa" w:w="2041"/>
          </w:tcPr>
          <w:p>
            <w:r/>
            <w:r>
              <w:rPr>
                <w:sz w:val="19"/>
              </w:rPr>
              <w:t>Türkiye</w:t>
            </w:r>
          </w:p>
        </w:tc>
        <w:tc>
          <w:tcPr>
            <w:tcW w:type="dxa" w:w="1701"/>
          </w:tcPr>
          <w:p>
            <w:r/>
            <w:r>
              <w:rPr>
                <w:sz w:val="19"/>
              </w:rPr>
              <w:t>Other conference</w:t>
            </w:r>
          </w:p>
        </w:tc>
      </w:tr>
      <w:tr>
        <w:tc>
          <w:tcPr>
            <w:tcW w:type="dxa" w:w="1361"/>
            <w:shd w:val="clear" w:color="auto" w:fill="F3F5F7"/>
          </w:tcPr>
          <w:p>
            <w:r/>
            <w:r>
              <w:rPr>
                <w:sz w:val="19"/>
              </w:rPr>
              <w:t>17 Nov 2026</w:t>
            </w:r>
          </w:p>
        </w:tc>
        <w:tc>
          <w:tcPr>
            <w:tcW w:type="dxa" w:w="4535"/>
            <w:shd w:val="clear" w:color="auto" w:fill="F3F5F7"/>
          </w:tcPr>
          <w:p>
            <w:r/>
            <w:r>
              <w:rPr>
                <w:sz w:val="19"/>
              </w:rPr>
              <w:t>BGA Touring Lecture – Beyond Automation: Responsible AI Workflows in Geotechnical Modelling and Monitoring</w:t>
            </w:r>
          </w:p>
        </w:tc>
        <w:tc>
          <w:tcPr>
            <w:tcW w:type="dxa" w:w="2041"/>
            <w:shd w:val="clear" w:color="auto" w:fill="F3F5F7"/>
          </w:tcPr>
          <w:p>
            <w:r/>
            <w:r>
              <w:rPr>
                <w:sz w:val="19"/>
              </w:rPr>
              <w:t>Leeds, United Kingdom</w:t>
            </w:r>
          </w:p>
        </w:tc>
        <w:tc>
          <w:tcPr>
            <w:tcW w:type="dxa" w:w="1701"/>
            <w:shd w:val="clear" w:color="auto" w:fill="F3F5F7"/>
          </w:tcPr>
          <w:p>
            <w:r/>
            <w:r>
              <w:rPr>
                <w:sz w:val="19"/>
              </w:rPr>
              <w:t>Course / webinar</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2026-10-25 · Copyright-safe outputs</w:t>
      </w:r>
    </w:p>
    <w:p>
      <w:pPr>
        <w:pStyle w:val="ListBullet"/>
      </w:pPr>
      <w:r>
        <w:t>Before you use a story - the magazine's five steps (treat the news item as a lead; check the facts with the primary source; write in your own words with your own angle; quote a sentence or two at most, in quotation marks, naming and linking the publication; use your own images, press-kit photos released for media use, or ask permission) now appear as a one-line note near the top of every digest and issue page (opened with a click), as a section Using the stories: copyright on the Method &amp; sources page, on the Excel Start here sheet, at the foot of the weekly summary e-mail and page and of the alerts, in this report and in each issue brief.</w:t>
      </w:r>
    </w:p>
    <w:p>
      <w:pPr>
        <w:pStyle w:val="ListBullet"/>
      </w:pPr>
      <w:r>
        <w:t>No publisher's text beyond the headline - the scanner still reads the feeds' summaries and the papers' abstracts during the scan, for the keyword score and Claude's reading, but no longer saves them, and the summaries and abstracts already saved in the 24 and 25 October digests were emptied (nothing else in the digests changed; earlier versions of the files in the repository's Git history still hold them). The story cards, search, the Developing stories page, the Excel and CSV files (the Summary and Abstract columns are gone), the e-mails, the issue brief and the AI assistant show Claude's own angle or note instead, or only the headline and source. The website shows no images from the sources.</w:t>
      </w:r>
    </w:p>
    <w:p>
      <w:pPr>
        <w:pStyle w:val="ListBullet"/>
      </w:pPr>
      <w:r>
        <w:t>Primary source to check - Claude's triage now names, for each story it rates, whom to verify the facts with (the authority, the project owner, the company or the body behind the official report, in at most 12 words). It is shown as Check with on story cards and in Search, in the alerts and the weekly summary, as a new column Primary source to check in the CSV and Excel files, in the AI assistant's context and with each story in the issue brief. Stories rated before today have none.</w:t>
      </w:r>
    </w:p>
    <w:p>
      <w:pPr>
        <w:pStyle w:val="ListBullet"/>
      </w:pPr>
      <w:r>
        <w:t>Own words - the triage prompt now says the angle is written in Claude's own words and never copies the headline or summary; translated headlines are labelled English headline translated by Claude, with the original beside them.</w:t>
      </w:r>
    </w:p>
    <w:p>
      <w:pPr>
        <w:pStyle w:val="ListBullet"/>
      </w:pPr>
      <w:r>
        <w:t>AI assistant - strict new rules: answer and draft in its own words from the facts, never reproduce article text, abstracts or paywalled content, quote at most one or two sentences in quotation marks with the publication named and linked, always list sources with links, name the primary source the editor should check, end every draft of a magazine piece with a short Check before publishing list (facts to confirm with the primary source, quotes to verify, image rights), and for images recommend own photos, press-kit photos released for media use or asking permission, never a source's photos, figures or drawings.</w:t>
      </w:r>
    </w:p>
    <w:p>
      <w:pPr>
        <w:pStyle w:val="ListBullet"/>
      </w:pPr>
      <w:r>
        <w:t>Issue brief - Claude follows the same own-words, short-quote, primary-source and image rules, reads each story's primary source with it, and the Word brief shows Check with beside every story in the line-up, feature leads, Academia-to-Industry topics and watch list (also in briefs written earlier, once their stories have one).</w:t>
      </w:r>
    </w:p>
    <w:p>
      <w:pPr>
        <w:spacing w:before="160"/>
      </w:pPr>
      <w:r>
        <w:rPr>
          <w:b/>
          <w:color w:val="23466B"/>
        </w:rPr>
        <w:t>2026-10-25 · At most 5 stories per website</w:t>
      </w:r>
    </w:p>
    <w:p>
      <w:pPr>
        <w:pStyle w:val="ListBullet"/>
      </w:pPr>
      <w:r>
        <w:t>No website may now give more than five stories to a digest (max_per_source in config.yaml; 0 = no limit). Vietnam.vn had supplied 16 of the 60 stories on 24 October and 12 of the 47 on 25 October. A website keeps its five best stories and each place this frees goes to the next story of the same theme; when Claude's translations show that another website reported the same event, its report is kept instead. At most 15 stories from one website now go to Claude, so one website cannot fill Claude's list either. Digests already in the archive are left as they are.</w:t>
      </w:r>
    </w:p>
    <w:p>
      <w:pPr>
        <w:pStyle w:val="ListBullet"/>
      </w:pPr>
      <w:r>
        <w:t>Copies of one story in several languages count once. Vietnam.vn publishes each story in Vietnamese, English, Chinese and other languages, and Google News lists every copy as a separate story; once Claude has translated the headlines, copies whose English headlines match are merged and the best one is kept, also when a second scan on the same day is merged with the morning's digest. Headlines that only share a place, that differ in a place or a number, or that differ only in a keyword (coastal or riverbank erosion in Ca Mau, when Claude's English translations of headlines in different languages are compared), stay separate stories.</w:t>
      </w:r>
    </w:p>
    <w:p>
      <w:pPr>
        <w:spacing w:before="160"/>
      </w:pPr>
      <w:r>
        <w:rPr>
          <w:b/>
          <w:color w:val="23466B"/>
        </w:rPr>
        <w:t>2026-10-25 · Developing stories: Sonnet links, Opus checks the unsure cases</w:t>
      </w:r>
    </w:p>
    <w:p>
      <w:pPr>
        <w:pStyle w:val="ListBullet"/>
      </w:pPr>
      <w:r>
        <w:t>Developing stories are now linked with Claude Sonnet, which also says which cases it is unsure of (two place names in one region, a translated headline that may or may not name the same site, a follow-up whose project name differs). Up to 8 of those per scan are read again by Claude Opus, each against its own closest earlier stories, and its decision stands. If the check fails, Sonnet's reading is kept and the scan notes say why. Settings under storylines (check_model, check_effort, max_checks) in config.yaml; check_model "" turns the check off.</w:t>
      </w:r>
    </w:p>
    <w:p>
      <w:pPr>
        <w:spacing w:before="160"/>
      </w:pPr>
      <w:r>
        <w:rPr>
          <w:b/>
          <w:color w:val="23466B"/>
        </w:rPr>
        <w:t>2026-10-25 · Lower running costs</w:t>
      </w:r>
    </w:p>
    <w:p>
      <w:pPr>
        <w:pStyle w:val="ListBullet"/>
      </w:pPr>
      <w:r>
        <w:t>The AI assistant now starts on Claude Sonnet (half the cost of Opus, still good answers); Opus and Haiku can still be chosen per question.</w:t>
      </w:r>
    </w:p>
    <w:p>
      <w:pPr>
        <w:pStyle w:val="ListBullet"/>
      </w:pPr>
      <w:r>
        <w:t>Developing stories are linked with Claude Haiku, the lowest-cost model, and the events calendar is refreshed every 14 days with Claude Sonnet. The issue brief stays on Claude Opus. The daily scan stays daily. The README lists what each part costs.</w:t>
      </w:r>
    </w:p>
    <w:p>
      <w:pPr>
        <w:spacing w:before="160"/>
      </w:pPr>
      <w:r>
        <w:rPr>
          <w:b/>
          <w:color w:val="23466B"/>
        </w:rPr>
        <w:t>2026-10-25 · Catch-up scans and a cheaper events refresh</w:t>
      </w:r>
    </w:p>
    <w:p>
      <w:pPr>
        <w:pStyle w:val="ListBullet"/>
      </w:pPr>
      <w:r>
        <w:t>The first events calendar refresh ran out of Anthropic credit part-way. A refresh now caps how much of each page Claude reads, uses prompt caching, stops near a spending limit (max_cost_usd, US$3) and has Claude write up the events found so far, keeps its notes when a later step fails, retries the next day when Claude was only busy, and ends its log with the tokens, searches and estimated cost.</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07/s11440-026-03248-3" TargetMode="External"/><Relationship Id="rId11" Type="http://schemas.openxmlformats.org/officeDocument/2006/relationships/hyperlink" Target="https://doi.org/10.1007/s11440-026-03237-6" TargetMode="External"/><Relationship Id="rId12" Type="http://schemas.openxmlformats.org/officeDocument/2006/relationships/hyperlink" Target="https://doi.org/10.1016/j.soildyn.2026.110792" TargetMode="External"/><Relationship Id="rId13" Type="http://schemas.openxmlformats.org/officeDocument/2006/relationships/hyperlink" Target="https://doi.org/10.1061/jggefk.gteng-15394" TargetMode="External"/><Relationship Id="rId14" Type="http://schemas.openxmlformats.org/officeDocument/2006/relationships/hyperlink" Target="https://doi.org/10.1061/jggefk.gteng-15418" TargetMode="External"/><Relationship Id="rId15" Type="http://schemas.openxmlformats.org/officeDocument/2006/relationships/hyperlink" Target="https://doi.org/10.1016/j.trgeo.2026.102499" TargetMode="External"/><Relationship Id="rId16" Type="http://schemas.openxmlformats.org/officeDocument/2006/relationships/hyperlink" Target="https://doi.org/10.1007/s10346-026-02861-3" TargetMode="External"/><Relationship Id="rId17" Type="http://schemas.openxmlformats.org/officeDocument/2006/relationships/hyperlink" Target="https://doi.org/10.1016/j.sandf.2026.1018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