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13:40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(13:02 UTC)</w:t>
            </w:r>
          </w:p>
        </w:tc>
      </w:tr>
      <w:tr>
        <w:tc>
          <w:tcPr>
            <w:tcW w:type="dxa" w:w="4535"/>
            <w:shd w:val="clear" w:color="auto" w:fill="F3F5F7"/>
          </w:tcPr>
          <w:p>
            <w:r/>
            <w:r>
              <w:rPr>
                <w:sz w:val="19"/>
              </w:rPr>
              <w:t>Stories in latest digest</w:t>
            </w:r>
          </w:p>
        </w:tc>
        <w:tc>
          <w:tcPr>
            <w:tcW w:type="dxa" w:w="5102"/>
            <w:shd w:val="clear" w:color="auto" w:fill="F3F5F7"/>
          </w:tcPr>
          <w:p>
            <w:r/>
            <w:r>
              <w:rPr>
                <w:sz w:val="19"/>
              </w:rPr>
              <w:t>80</w:t>
            </w:r>
          </w:p>
        </w:tc>
      </w:tr>
      <w:tr>
        <w:tc>
          <w:tcPr>
            <w:tcW w:type="dxa" w:w="4535"/>
          </w:tcPr>
          <w:p>
            <w:r/>
            <w:r>
              <w:rPr>
                <w:sz w:val="19"/>
              </w:rPr>
              <w:t>New items scanned</w:t>
            </w:r>
          </w:p>
        </w:tc>
        <w:tc>
          <w:tcPr>
            <w:tcW w:type="dxa" w:w="5102"/>
          </w:tcPr>
          <w:p>
            <w:r/>
            <w:r>
              <w:rPr>
                <w:sz w:val="19"/>
              </w:rPr>
              <w:t>752</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80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3 themes covered; the largest is Hazards &amp; Resilience with 76 of 80 stories (95%).</w:t>
      </w:r>
    </w:p>
    <w:p>
      <w:pPr>
        <w:spacing w:after="60"/>
      </w:pPr>
      <w:r>
        <w:rPr>
          <w:b/>
          <w:color w:val="5B6573"/>
        </w:rPr>
        <w:t xml:space="preserve">• </w:t>
      </w:r>
      <w:r>
        <w:t>56 different outlets contributed; the most frequent was Vietnam.vn (19 stories).</w:t>
      </w:r>
    </w:p>
    <w:p>
      <w:pPr>
        <w:spacing w:after="60"/>
      </w:pPr>
      <w:r>
        <w:rPr>
          <w:b/>
          <w:color w:val="5B6573"/>
        </w:rPr>
        <w:t xml:space="preserve">• </w:t>
      </w:r>
      <w:r>
        <w:t>74 stories came from non-English Google News editions.</w:t>
      </w:r>
    </w:p>
    <w:p>
      <w:pPr>
        <w:spacing w:after="60"/>
      </w:pPr>
      <w:r>
        <w:rPr>
          <w:b/>
          <w:color w:val="5B6573"/>
        </w:rPr>
        <w:t xml:space="preserve">• </w:t>
      </w:r>
      <w:r>
        <w:t>13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80</w:t>
            </w:r>
          </w:p>
        </w:tc>
        <w:tc>
          <w:tcPr>
            <w:tcW w:type="dxa" w:w="1417"/>
          </w:tcPr>
          <w:p>
            <w:r/>
            <w:r>
              <w:rPr>
                <w:sz w:val="19"/>
              </w:rPr>
              <w:t>0</w:t>
            </w:r>
          </w:p>
        </w:tc>
        <w:tc>
          <w:tcPr>
            <w:tcW w:type="dxa" w:w="1701"/>
          </w:tcPr>
          <w:p>
            <w:r/>
            <w:r>
              <w:rPr>
                <w:sz w:val="19"/>
              </w:rPr>
              <w:t>6</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76</w:t>
            </w:r>
          </w:p>
        </w:tc>
        <w:tc>
          <w:tcPr>
            <w:tcW w:type="dxa" w:w="1417"/>
          </w:tcPr>
          <w:p>
            <w:r/>
            <w:r>
              <w:rPr>
                <w:sz w:val="19"/>
              </w:rPr>
              <w:t>95%</w:t>
            </w:r>
          </w:p>
        </w:tc>
        <w:tc>
          <w:tcPr>
            <w:tcW w:type="dxa" w:w="1701"/>
          </w:tcPr>
          <w:p>
            <w:r/>
            <w:r>
              <w:rPr>
                <w:sz w:val="19"/>
              </w:rPr>
              <w:t>11</w:t>
            </w:r>
          </w:p>
        </w:tc>
      </w:tr>
      <w:tr>
        <w:tc>
          <w:tcPr>
            <w:tcW w:type="dxa" w:w="4535"/>
            <w:shd w:val="clear" w:color="auto" w:fill="DEE8F9"/>
          </w:tcPr>
          <w:p>
            <w:r/>
            <w:r>
              <w:rPr>
                <w:b/>
                <w:color w:val="2563D6"/>
                <w:sz w:val="19"/>
              </w:rPr>
              <w:t>Infrastructure &amp; the Underground City</w:t>
            </w:r>
          </w:p>
        </w:tc>
        <w:tc>
          <w:tcPr>
            <w:tcW w:type="dxa" w:w="1417"/>
            <w:shd w:val="clear" w:color="auto" w:fill="F3F5F7"/>
          </w:tcPr>
          <w:p>
            <w:r/>
            <w:r>
              <w:rPr>
                <w:sz w:val="19"/>
              </w:rPr>
              <w:t>3</w:t>
            </w:r>
          </w:p>
        </w:tc>
        <w:tc>
          <w:tcPr>
            <w:tcW w:type="dxa" w:w="1417"/>
            <w:shd w:val="clear" w:color="auto" w:fill="F3F5F7"/>
          </w:tcPr>
          <w:p>
            <w:r/>
            <w:r>
              <w:rPr>
                <w:sz w:val="19"/>
              </w:rPr>
              <w:t>4%</w:t>
            </w:r>
          </w:p>
        </w:tc>
        <w:tc>
          <w:tcPr>
            <w:tcW w:type="dxa" w:w="1701"/>
            <w:shd w:val="clear" w:color="auto" w:fill="F3F5F7"/>
          </w:tcPr>
          <w:p>
            <w:r/>
            <w:r>
              <w:rPr>
                <w:sz w:val="19"/>
              </w:rPr>
              <w:t>1</w:t>
            </w:r>
          </w:p>
        </w:tc>
      </w:tr>
      <w:tr>
        <w:tc>
          <w:tcPr>
            <w:tcW w:type="dxa" w:w="4535"/>
            <w:shd w:val="clear" w:color="auto" w:fill="F6E2EB"/>
          </w:tcPr>
          <w:p>
            <w:r/>
            <w:r>
              <w:rPr>
                <w:b/>
                <w:color w:val="C23D7B"/>
                <w:sz w:val="19"/>
              </w:rPr>
              <w:t>Characterisation &amp; Modelling</w:t>
            </w:r>
          </w:p>
        </w:tc>
        <w:tc>
          <w:tcPr>
            <w:tcW w:type="dxa" w:w="1417"/>
          </w:tcPr>
          <w:p>
            <w:r/>
            <w:r>
              <w:rPr>
                <w:sz w:val="19"/>
              </w:rPr>
              <w:t>1</w:t>
            </w:r>
          </w:p>
        </w:tc>
        <w:tc>
          <w:tcPr>
            <w:tcW w:type="dxa" w:w="1417"/>
          </w:tcPr>
          <w:p>
            <w:r/>
            <w:r>
              <w:rPr>
                <w:sz w:val="19"/>
              </w:rPr>
              <w:t>1%</w:t>
            </w:r>
          </w:p>
        </w:tc>
        <w:tc>
          <w:tcPr>
            <w:tcW w:type="dxa" w:w="1701"/>
          </w:tcPr>
          <w:p>
            <w:r/>
            <w:r>
              <w:rPr>
                <w:sz w:val="19"/>
              </w:rPr>
              <w:t>1</w:t>
            </w:r>
          </w:p>
        </w:tc>
      </w:tr>
    </w:tbl>
    <w:p/>
    <w:p>
      <w:pPr>
        <w:pStyle w:val="Heading1"/>
      </w:pPr>
      <w:r>
        <w:rPr>
          <w:color w:val="16324F"/>
        </w:rPr>
        <w:t>6. Change log</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