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25 October 2026, 01:19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2026-10-24 (16:34 UTC)</w:t>
            </w:r>
          </w:p>
        </w:tc>
      </w:tr>
      <w:tr>
        <w:tc>
          <w:tcPr>
            <w:tcW w:type="dxa" w:w="4535"/>
            <w:shd w:val="clear" w:color="auto" w:fill="F3F5F7"/>
          </w:tcPr>
          <w:p>
            <w:r/>
            <w:r>
              <w:rPr>
                <w:sz w:val="19"/>
              </w:rPr>
              <w:t>Stories in latest digest</w:t>
            </w:r>
          </w:p>
        </w:tc>
        <w:tc>
          <w:tcPr>
            <w:tcW w:type="dxa" w:w="5102"/>
            <w:shd w:val="clear" w:color="auto" w:fill="F3F5F7"/>
          </w:tcPr>
          <w:p>
            <w:r/>
            <w:r>
              <w:rPr>
                <w:sz w:val="19"/>
              </w:rPr>
              <w:t>60</w:t>
            </w:r>
          </w:p>
        </w:tc>
      </w:tr>
      <w:tr>
        <w:tc>
          <w:tcPr>
            <w:tcW w:type="dxa" w:w="4535"/>
          </w:tcPr>
          <w:p>
            <w:r/>
            <w:r>
              <w:rPr>
                <w:sz w:val="19"/>
              </w:rPr>
              <w:t>New items scanned</w:t>
            </w:r>
          </w:p>
        </w:tc>
        <w:tc>
          <w:tcPr>
            <w:tcW w:type="dxa" w:w="5102"/>
          </w:tcPr>
          <w:p>
            <w:r/>
            <w:r>
              <w:rPr>
                <w:sz w:val="19"/>
              </w:rPr>
              <w:t>1499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60</w:t>
            </w:r>
          </w:p>
        </w:tc>
      </w:tr>
      <w:tr>
        <w:tc>
          <w:tcPr>
            <w:tcW w:type="dxa" w:w="4535"/>
            <w:shd w:val="clear" w:color="auto" w:fill="F3F5F7"/>
          </w:tcPr>
          <w:p>
            <w:r/>
            <w:r>
              <w:rPr>
                <w:sz w:val="19"/>
              </w:rPr>
              <w:t>Daily digests archived</w:t>
            </w:r>
          </w:p>
        </w:tc>
        <w:tc>
          <w:tcPr>
            <w:tcW w:type="dxa" w:w="5102"/>
            <w:shd w:val="clear" w:color="auto" w:fill="F3F5F7"/>
          </w:tcPr>
          <w:p>
            <w:r/>
            <w:r>
              <w:rPr>
                <w:sz w:val="19"/>
              </w:rPr>
              <w:t>1</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Stories located in a country (world map)</w:t>
            </w:r>
          </w:p>
        </w:tc>
        <w:tc>
          <w:tcPr>
            <w:tcW w:type="dxa" w:w="5102"/>
            <w:shd w:val="clear" w:color="auto" w:fill="F3F5F7"/>
          </w:tcPr>
          <w:p>
            <w:r/>
            <w:r>
              <w:rPr>
                <w:sz w:val="19"/>
              </w:rPr>
              <w:t>0 of 60</w:t>
            </w:r>
          </w:p>
        </w:tc>
      </w:tr>
      <w:tr>
        <w:tc>
          <w:tcPr>
            <w:tcW w:type="dxa" w:w="4535"/>
          </w:tcPr>
          <w:p>
            <w:r/>
            <w:r>
              <w:rPr>
                <w:sz w:val="19"/>
              </w:rPr>
              <w:t>Developing stories (two or more reports)</w:t>
            </w:r>
          </w:p>
        </w:tc>
        <w:tc>
          <w:tcPr>
            <w:tcW w:type="dxa" w:w="5102"/>
          </w:tcPr>
          <w:p>
            <w:r/>
            <w:r>
              <w:rPr>
                <w:sz w:val="19"/>
              </w:rPr>
              <w:t>0</w:t>
            </w:r>
          </w:p>
        </w:tc>
      </w:tr>
      <w:tr>
        <w:tc>
          <w:tcPr>
            <w:tcW w:type="dxa" w:w="4535"/>
            <w:shd w:val="clear" w:color="auto" w:fill="F3F5F7"/>
          </w:tcPr>
          <w:p>
            <w:r/>
            <w:r>
              <w:rPr>
                <w:sz w:val="19"/>
              </w:rPr>
              <w:t>Weekly summaries e-mailed</w:t>
            </w:r>
          </w:p>
        </w:tc>
        <w:tc>
          <w:tcPr>
            <w:tcW w:type="dxa" w:w="5102"/>
            <w:shd w:val="clear" w:color="auto" w:fill="F3F5F7"/>
          </w:tcPr>
          <w:p>
            <w:r/>
            <w:r>
              <w:rPr>
                <w:sz w:val="19"/>
              </w:rPr>
              <w:t>0</w:t>
            </w:r>
          </w:p>
        </w:tc>
      </w:tr>
      <w:tr>
        <w:tc>
          <w:tcPr>
            <w:tcW w:type="dxa" w:w="4535"/>
          </w:tcPr>
          <w:p>
            <w:r/>
            <w:r>
              <w:rPr>
                <w:sz w:val="19"/>
              </w:rPr>
              <w:t>Websites failing on latest scan</w:t>
            </w:r>
          </w:p>
        </w:tc>
        <w:tc>
          <w:tcPr>
            <w:tcW w:type="dxa" w:w="5102"/>
          </w:tcPr>
          <w:p>
            <w:r/>
            <w:r>
              <w:rPr>
                <w:sz w:val="19"/>
              </w:rPr>
              <w:t>0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its geotechnical substance (1-5), confirms the theme, suggests an editorial use, writes a magazine angle and translates foreign headlines.</w:t>
      </w:r>
    </w:p>
    <w:p>
      <w:pPr>
        <w:pStyle w:val="ListBullet"/>
      </w:pPr>
      <w:r>
        <w:rPr>
          <w:b/>
        </w:rPr>
        <w:t xml:space="preserve">Balanced digests: </w:t>
      </w:r>
      <w:r>
        <w:t>no theme may take more than 30 % of a digest, and several outlets reporting the same event are merged into one story.</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World map: </w:t>
      </w:r>
      <w:r>
        <w:t>Claude reads where each story happened (country and town, region or site); the World map plots stories by country for any issue window and marks the ISSMGE member-society countries with no stories, region by region, so coverage gaps are visible.</w:t>
      </w:r>
    </w:p>
    <w:p>
      <w:pPr>
        <w:pStyle w:val="ListBullet"/>
      </w:pPr>
      <w:r>
        <w:rPr>
          <w:b/>
        </w:rPr>
        <w:t xml:space="preserve">Developing stories: </w:t>
      </w:r>
      <w:r>
        <w:t>each scan links follow-up reports (the response, the inquiry, the repair, the court case) to the earlier story about the same event, project or site, with the stage reached; each developing story has a timeline, and story cards carry a Developing story chip.</w:t>
      </w:r>
    </w:p>
    <w:p>
      <w:pPr>
        <w:pStyle w:val="ListBullet"/>
      </w:pPr>
      <w:r>
        <w:rPr>
          <w:b/>
        </w:rPr>
        <w:t xml:space="preserve">Events calendar: </w:t>
      </w:r>
      <w:r>
        <w:t>conferences, symposia and courses with their deadlines (calls for papers, registration), from the editors' list (data/events.yaml) and a weekly refresh in which Claude reads the organisers' calendars; a calendar feed to subscribe to, and the next deadlines beside the news.</w:t>
      </w:r>
    </w:p>
    <w:p>
      <w:pPr>
        <w:pStyle w:val="ListBullet"/>
      </w:pPr>
      <w:r>
        <w:rPr>
          <w:b/>
        </w:rPr>
        <w:t xml:space="preserve">Alerts and weekly summary: </w:t>
      </w:r>
      <w:r>
        <w:t>an e-mail after any scan that finds a new 5/5 story, and every Monday a summary of the week for the editorial team (top stories, developing stories, regional coverage, events and research), also kept as web pages.</w:t>
      </w:r>
    </w:p>
    <w:p>
      <w:pPr>
        <w:pStyle w:val="ListBullet"/>
      </w:pPr>
      <w:r>
        <w:rPr>
          <w:b/>
        </w:rPr>
        <w:t xml:space="preserve">Search and AI assistant: </w:t>
      </w:r>
      <w:r>
        <w:t>search every archived story with filters, or ask the AI assistant, which knows the developing stories and the events calendar and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19 of 19 websites were read successfully; 0 failed (see Source health).</w:t>
      </w:r>
    </w:p>
    <w:p>
      <w:pPr>
        <w:spacing w:after="60"/>
      </w:pPr>
      <w:r>
        <w:rPr>
          <w:b/>
          <w:color w:val="1E7B4F"/>
        </w:rPr>
        <w:t xml:space="preserve">✔ </w:t>
      </w:r>
      <w:r>
        <w:t>Theme balance: 8 themes covered; the largest is Infrastructure &amp; the Underground City with 17 of 60 stories (28%).</w:t>
      </w:r>
    </w:p>
    <w:p>
      <w:pPr>
        <w:spacing w:after="60"/>
      </w:pPr>
      <w:r>
        <w:rPr>
          <w:b/>
          <w:color w:val="5B6573"/>
        </w:rPr>
        <w:t xml:space="preserve">• </w:t>
      </w:r>
      <w:r>
        <w:t>41 different outlets contributed; the most frequent was Vietnam.vn (16 stories).</w:t>
      </w:r>
    </w:p>
    <w:p>
      <w:pPr>
        <w:spacing w:after="60"/>
      </w:pPr>
      <w:r>
        <w:rPr>
          <w:b/>
          <w:color w:val="5B6573"/>
        </w:rPr>
        <w:t xml:space="preserve">• </w:t>
      </w:r>
      <w:r>
        <w:t>51 stories came from non-English Google News editions.</w:t>
      </w:r>
    </w:p>
    <w:p>
      <w:pPr>
        <w:spacing w:after="60"/>
      </w:pPr>
      <w:r>
        <w:rPr>
          <w:b/>
          <w:color w:val="5B6573"/>
        </w:rPr>
        <w:t xml:space="preserve">• </w:t>
      </w:r>
      <w:r>
        <w:t>43 stories were rated 4 or 5 out of 5.</w:t>
      </w:r>
    </w:p>
    <w:p>
      <w:pPr>
        <w:pStyle w:val="Heading1"/>
      </w:pPr>
      <w:r>
        <w:rPr>
          <w:color w:val="16324F"/>
        </w:rPr>
        <w:t>3. Source health</w:t>
      </w:r>
    </w:p>
    <w:p>
      <w:r>
        <w:t>All websites were read successfully on the latest scan.</w:t>
      </w:r>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1</w:t>
            </w:r>
          </w:p>
        </w:tc>
        <w:tc>
          <w:tcPr>
            <w:tcW w:type="dxa" w:w="1134"/>
          </w:tcPr>
          <w:p>
            <w:r/>
            <w:r>
              <w:rPr>
                <w:sz w:val="19"/>
              </w:rPr>
              <w:t>60</w:t>
            </w:r>
          </w:p>
        </w:tc>
        <w:tc>
          <w:tcPr>
            <w:tcW w:type="dxa" w:w="1417"/>
          </w:tcPr>
          <w:p>
            <w:r/>
            <w:r>
              <w:rPr>
                <w:sz w:val="19"/>
              </w:rPr>
              <w:t>6</w:t>
            </w:r>
          </w:p>
        </w:tc>
        <w:tc>
          <w:tcPr>
            <w:tcW w:type="dxa" w:w="1701"/>
          </w:tcPr>
          <w:p>
            <w:r/>
            <w:r>
              <w:rPr>
                <w:sz w:val="19"/>
              </w:rPr>
              <w:t>24</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3</w:t>
            </w:r>
          </w:p>
        </w:tc>
        <w:tc>
          <w:tcPr>
            <w:tcW w:type="dxa" w:w="1417"/>
          </w:tcPr>
          <w:p>
            <w:r/>
            <w:r>
              <w:rPr>
                <w:sz w:val="19"/>
              </w:rPr>
              <w:t>5%</w:t>
            </w:r>
          </w:p>
        </w:tc>
        <w:tc>
          <w:tcPr>
            <w:tcW w:type="dxa" w:w="1701"/>
          </w:tcPr>
          <w:p>
            <w:r/>
            <w:r>
              <w:rPr>
                <w:sz w:val="19"/>
              </w:rPr>
              <w:t>0</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1</w:t>
            </w:r>
          </w:p>
        </w:tc>
        <w:tc>
          <w:tcPr>
            <w:tcW w:type="dxa" w:w="1417"/>
            <w:shd w:val="clear" w:color="auto" w:fill="F3F5F7"/>
          </w:tcPr>
          <w:p>
            <w:r/>
            <w:r>
              <w:rPr>
                <w:sz w:val="19"/>
              </w:rPr>
              <w:t>2%</w:t>
            </w:r>
          </w:p>
        </w:tc>
        <w:tc>
          <w:tcPr>
            <w:tcW w:type="dxa" w:w="1701"/>
            <w:shd w:val="clear" w:color="auto" w:fill="F3F5F7"/>
          </w:tcPr>
          <w:p>
            <w:r/>
            <w:r>
              <w:rPr>
                <w:sz w:val="19"/>
              </w:rPr>
              <w:t>1</w:t>
            </w:r>
          </w:p>
        </w:tc>
      </w:tr>
      <w:tr>
        <w:tc>
          <w:tcPr>
            <w:tcW w:type="dxa" w:w="4535"/>
            <w:shd w:val="clear" w:color="auto" w:fill="FAE5DF"/>
          </w:tcPr>
          <w:p>
            <w:r/>
            <w:r>
              <w:rPr>
                <w:b/>
                <w:color w:val="E04F2C"/>
                <w:sz w:val="19"/>
              </w:rPr>
              <w:t>Hazards &amp; Resilience</w:t>
            </w:r>
          </w:p>
        </w:tc>
        <w:tc>
          <w:tcPr>
            <w:tcW w:type="dxa" w:w="1417"/>
          </w:tcPr>
          <w:p>
            <w:r/>
            <w:r>
              <w:rPr>
                <w:sz w:val="19"/>
              </w:rPr>
              <w:t>17</w:t>
            </w:r>
          </w:p>
        </w:tc>
        <w:tc>
          <w:tcPr>
            <w:tcW w:type="dxa" w:w="1417"/>
          </w:tcPr>
          <w:p>
            <w:r/>
            <w:r>
              <w:rPr>
                <w:sz w:val="19"/>
              </w:rPr>
              <w:t>28%</w:t>
            </w:r>
          </w:p>
        </w:tc>
        <w:tc>
          <w:tcPr>
            <w:tcW w:type="dxa" w:w="1701"/>
          </w:tcPr>
          <w:p>
            <w:r/>
            <w:r>
              <w:rPr>
                <w:sz w:val="19"/>
              </w:rPr>
              <w:t>17</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2</w:t>
            </w:r>
          </w:p>
        </w:tc>
        <w:tc>
          <w:tcPr>
            <w:tcW w:type="dxa" w:w="1417"/>
            <w:shd w:val="clear" w:color="auto" w:fill="F3F5F7"/>
          </w:tcPr>
          <w:p>
            <w:r/>
            <w:r>
              <w:rPr>
                <w:sz w:val="19"/>
              </w:rPr>
              <w:t>3%</w:t>
            </w:r>
          </w:p>
        </w:tc>
        <w:tc>
          <w:tcPr>
            <w:tcW w:type="dxa" w:w="1701"/>
            <w:shd w:val="clear" w:color="auto" w:fill="F3F5F7"/>
          </w:tcPr>
          <w:p>
            <w:r/>
            <w:r>
              <w:rPr>
                <w:sz w:val="19"/>
              </w:rPr>
              <w:t>2</w:t>
            </w:r>
          </w:p>
        </w:tc>
      </w:tr>
      <w:tr>
        <w:tc>
          <w:tcPr>
            <w:tcW w:type="dxa" w:w="4535"/>
            <w:shd w:val="clear" w:color="auto" w:fill="DEE8F9"/>
          </w:tcPr>
          <w:p>
            <w:r/>
            <w:r>
              <w:rPr>
                <w:b/>
                <w:color w:val="2563D6"/>
                <w:sz w:val="19"/>
              </w:rPr>
              <w:t>Infrastructure &amp; the Underground City</w:t>
            </w:r>
          </w:p>
        </w:tc>
        <w:tc>
          <w:tcPr>
            <w:tcW w:type="dxa" w:w="1417"/>
          </w:tcPr>
          <w:p>
            <w:r/>
            <w:r>
              <w:rPr>
                <w:sz w:val="19"/>
              </w:rPr>
              <w:t>17</w:t>
            </w:r>
          </w:p>
        </w:tc>
        <w:tc>
          <w:tcPr>
            <w:tcW w:type="dxa" w:w="1417"/>
          </w:tcPr>
          <w:p>
            <w:r/>
            <w:r>
              <w:rPr>
                <w:sz w:val="19"/>
              </w:rPr>
              <w:t>28%</w:t>
            </w:r>
          </w:p>
        </w:tc>
        <w:tc>
          <w:tcPr>
            <w:tcW w:type="dxa" w:w="1701"/>
          </w:tcPr>
          <w:p>
            <w:r/>
            <w:r>
              <w:rPr>
                <w:sz w:val="19"/>
              </w:rPr>
              <w:t>10</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10</w:t>
            </w:r>
          </w:p>
        </w:tc>
        <w:tc>
          <w:tcPr>
            <w:tcW w:type="dxa" w:w="1417"/>
            <w:shd w:val="clear" w:color="auto" w:fill="F3F5F7"/>
          </w:tcPr>
          <w:p>
            <w:r/>
            <w:r>
              <w:rPr>
                <w:sz w:val="19"/>
              </w:rPr>
              <w:t>17%</w:t>
            </w:r>
          </w:p>
        </w:tc>
        <w:tc>
          <w:tcPr>
            <w:tcW w:type="dxa" w:w="1701"/>
            <w:shd w:val="clear" w:color="auto" w:fill="F3F5F7"/>
          </w:tcPr>
          <w:p>
            <w:r/>
            <w:r>
              <w:rPr>
                <w:sz w:val="19"/>
              </w:rPr>
              <w:t>7</w:t>
            </w:r>
          </w:p>
        </w:tc>
      </w:tr>
      <w:tr>
        <w:tc>
          <w:tcPr>
            <w:tcW w:type="dxa" w:w="4535"/>
            <w:shd w:val="clear" w:color="auto" w:fill="F6E2EB"/>
          </w:tcPr>
          <w:p>
            <w:r/>
            <w:r>
              <w:rPr>
                <w:b/>
                <w:color w:val="C23D7B"/>
                <w:sz w:val="19"/>
              </w:rPr>
              <w:t>Characterisation &amp; Modelling</w:t>
            </w:r>
          </w:p>
        </w:tc>
        <w:tc>
          <w:tcPr>
            <w:tcW w:type="dxa" w:w="1417"/>
          </w:tcPr>
          <w:p>
            <w:r/>
            <w:r>
              <w:rPr>
                <w:sz w:val="19"/>
              </w:rPr>
              <w:t>6</w:t>
            </w:r>
          </w:p>
        </w:tc>
        <w:tc>
          <w:tcPr>
            <w:tcW w:type="dxa" w:w="1417"/>
          </w:tcPr>
          <w:p>
            <w:r/>
            <w:r>
              <w:rPr>
                <w:sz w:val="19"/>
              </w:rPr>
              <w:t>10%</w:t>
            </w:r>
          </w:p>
        </w:tc>
        <w:tc>
          <w:tcPr>
            <w:tcW w:type="dxa" w:w="1701"/>
          </w:tcPr>
          <w:p>
            <w:r/>
            <w:r>
              <w:rPr>
                <w:sz w:val="19"/>
              </w:rPr>
              <w:t>5</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4</w:t>
            </w:r>
          </w:p>
        </w:tc>
        <w:tc>
          <w:tcPr>
            <w:tcW w:type="dxa" w:w="1417"/>
            <w:shd w:val="clear" w:color="auto" w:fill="F3F5F7"/>
          </w:tcPr>
          <w:p>
            <w:r/>
            <w:r>
              <w:rPr>
                <w:sz w:val="19"/>
              </w:rPr>
              <w:t>7%</w:t>
            </w:r>
          </w:p>
        </w:tc>
        <w:tc>
          <w:tcPr>
            <w:tcW w:type="dxa" w:w="1701"/>
            <w:shd w:val="clear" w:color="auto" w:fill="F3F5F7"/>
          </w:tcPr>
          <w:p>
            <w:r/>
            <w:r>
              <w:rPr>
                <w:sz w:val="19"/>
              </w:rPr>
              <w:t>1</w:t>
            </w:r>
          </w:p>
        </w:tc>
      </w:tr>
    </w:tbl>
    <w:p/>
    <w:p>
      <w:pPr>
        <w:pStyle w:val="Heading1"/>
      </w:pPr>
      <w:r>
        <w:rPr>
          <w:color w:val="16324F"/>
        </w:rPr>
        <w:t>6. Regional coverage (world map): Q4 2026</w:t>
      </w:r>
    </w:p>
    <w:p>
      <w:r>
        <w:t>Q4 2026 (Oct – Dec 2026): 0 of 60 stories are located in a country of one of ISSMGE's six regions; 0 are global or about several countries and 60 have no location yet. No story is located in a country yet, so no member-society country is counted as a gap.</w:t>
      </w:r>
    </w:p>
    <w:tbl>
      <w:tblPr>
        <w:tblStyle w:val="TableGrid"/>
        <w:tblW w:type="auto" w:w="0"/>
        <w:jc w:val="center"/>
        <w:tblLayout w:type="fixed"/>
        <w:tblLook w:firstColumn="1" w:firstRow="1" w:lastColumn="0" w:lastRow="0" w:noHBand="0" w:noVBand="1" w:val="04A0"/>
      </w:tblPr>
      <w:tblGrid>
        <w:gridCol w:w="1814"/>
        <w:gridCol w:w="1020"/>
        <w:gridCol w:w="1814"/>
        <w:gridCol w:w="4989"/>
      </w:tblGrid>
      <w:tr>
        <w:tc>
          <w:tcPr>
            <w:tcW w:type="dxa" w:w="1814"/>
            <w:shd w:val="clear" w:color="auto" w:fill="16324F"/>
          </w:tcPr>
          <w:p>
            <w:r/>
            <w:r>
              <w:rPr>
                <w:b/>
                <w:color w:val="FFFFFF"/>
                <w:sz w:val="19"/>
              </w:rPr>
              <w:t>ISSMGE region</w:t>
            </w:r>
          </w:p>
        </w:tc>
        <w:tc>
          <w:tcPr>
            <w:tcW w:type="dxa" w:w="1020"/>
            <w:shd w:val="clear" w:color="auto" w:fill="16324F"/>
          </w:tcPr>
          <w:p>
            <w:r/>
            <w:r>
              <w:rPr>
                <w:b/>
                <w:color w:val="FFFFFF"/>
                <w:sz w:val="19"/>
              </w:rPr>
              <w:t>Stories</w:t>
            </w:r>
          </w:p>
        </w:tc>
        <w:tc>
          <w:tcPr>
            <w:tcW w:type="dxa" w:w="1814"/>
            <w:shd w:val="clear" w:color="auto" w:fill="16324F"/>
          </w:tcPr>
          <w:p>
            <w:r/>
            <w:r>
              <w:rPr>
                <w:b/>
                <w:color w:val="FFFFFF"/>
                <w:sz w:val="19"/>
              </w:rPr>
              <w:t>Member societies covered</w:t>
            </w:r>
          </w:p>
        </w:tc>
        <w:tc>
          <w:tcPr>
            <w:tcW w:type="dxa" w:w="4989"/>
            <w:shd w:val="clear" w:color="auto" w:fill="16324F"/>
          </w:tcPr>
          <w:p>
            <w:r/>
            <w:r>
              <w:rPr>
                <w:b/>
                <w:color w:val="FFFFFF"/>
                <w:sz w:val="19"/>
              </w:rPr>
              <w:t>Member-society countries with no stories</w:t>
            </w:r>
          </w:p>
        </w:tc>
      </w:tr>
      <w:tr>
        <w:tc>
          <w:tcPr>
            <w:tcW w:type="dxa" w:w="1814"/>
          </w:tcPr>
          <w:p>
            <w:r/>
            <w:r>
              <w:rPr>
                <w:sz w:val="19"/>
              </w:rPr>
              <w:t>Africa</w:t>
            </w:r>
          </w:p>
        </w:tc>
        <w:tc>
          <w:tcPr>
            <w:tcW w:type="dxa" w:w="1020"/>
          </w:tcPr>
          <w:p>
            <w:r/>
            <w:r>
              <w:rPr>
                <w:sz w:val="19"/>
              </w:rPr>
              <w:t>0</w:t>
            </w:r>
          </w:p>
        </w:tc>
        <w:tc>
          <w:tcPr>
            <w:tcW w:type="dxa" w:w="1814"/>
          </w:tcPr>
          <w:p>
            <w:r/>
            <w:r>
              <w:rPr>
                <w:sz w:val="19"/>
              </w:rPr>
              <w:t>– of 8</w:t>
            </w:r>
          </w:p>
        </w:tc>
        <w:tc>
          <w:tcPr>
            <w:tcW w:type="dxa" w:w="4989"/>
          </w:tcPr>
          <w:p>
            <w:r/>
            <w:r>
              <w:rPr>
                <w:sz w:val="19"/>
              </w:rPr>
              <w:t>Shown once stories are located</w:t>
            </w:r>
          </w:p>
        </w:tc>
      </w:tr>
      <w:tr>
        <w:tc>
          <w:tcPr>
            <w:tcW w:type="dxa" w:w="1814"/>
            <w:shd w:val="clear" w:color="auto" w:fill="F3F5F7"/>
          </w:tcPr>
          <w:p>
            <w:r/>
            <w:r>
              <w:rPr>
                <w:sz w:val="19"/>
              </w:rPr>
              <w:t>Asia</w:t>
            </w:r>
          </w:p>
        </w:tc>
        <w:tc>
          <w:tcPr>
            <w:tcW w:type="dxa" w:w="1020"/>
            <w:shd w:val="clear" w:color="auto" w:fill="F3F5F7"/>
          </w:tcPr>
          <w:p>
            <w:r/>
            <w:r>
              <w:rPr>
                <w:sz w:val="19"/>
              </w:rPr>
              <w:t>0</w:t>
            </w:r>
          </w:p>
        </w:tc>
        <w:tc>
          <w:tcPr>
            <w:tcW w:type="dxa" w:w="1814"/>
            <w:shd w:val="clear" w:color="auto" w:fill="F3F5F7"/>
          </w:tcPr>
          <w:p>
            <w:r/>
            <w:r>
              <w:rPr>
                <w:sz w:val="19"/>
              </w:rPr>
              <w:t>– of 26</w:t>
            </w:r>
          </w:p>
        </w:tc>
        <w:tc>
          <w:tcPr>
            <w:tcW w:type="dxa" w:w="4989"/>
            <w:shd w:val="clear" w:color="auto" w:fill="F3F5F7"/>
          </w:tcPr>
          <w:p>
            <w:r/>
            <w:r>
              <w:rPr>
                <w:sz w:val="19"/>
              </w:rPr>
              <w:t>Shown once stories are located</w:t>
            </w:r>
          </w:p>
        </w:tc>
      </w:tr>
      <w:tr>
        <w:tc>
          <w:tcPr>
            <w:tcW w:type="dxa" w:w="1814"/>
          </w:tcPr>
          <w:p>
            <w:r/>
            <w:r>
              <w:rPr>
                <w:sz w:val="19"/>
              </w:rPr>
              <w:t>Australasia</w:t>
            </w:r>
          </w:p>
        </w:tc>
        <w:tc>
          <w:tcPr>
            <w:tcW w:type="dxa" w:w="1020"/>
          </w:tcPr>
          <w:p>
            <w:r/>
            <w:r>
              <w:rPr>
                <w:sz w:val="19"/>
              </w:rPr>
              <w:t>0</w:t>
            </w:r>
          </w:p>
        </w:tc>
        <w:tc>
          <w:tcPr>
            <w:tcW w:type="dxa" w:w="1814"/>
          </w:tcPr>
          <w:p>
            <w:r/>
            <w:r>
              <w:rPr>
                <w:sz w:val="19"/>
              </w:rPr>
              <w:t>– of 2</w:t>
            </w:r>
          </w:p>
        </w:tc>
        <w:tc>
          <w:tcPr>
            <w:tcW w:type="dxa" w:w="4989"/>
          </w:tcPr>
          <w:p>
            <w:r/>
            <w:r>
              <w:rPr>
                <w:sz w:val="19"/>
              </w:rPr>
              <w:t>Shown once stories are located</w:t>
            </w:r>
          </w:p>
        </w:tc>
      </w:tr>
      <w:tr>
        <w:tc>
          <w:tcPr>
            <w:tcW w:type="dxa" w:w="1814"/>
            <w:shd w:val="clear" w:color="auto" w:fill="F3F5F7"/>
          </w:tcPr>
          <w:p>
            <w:r/>
            <w:r>
              <w:rPr>
                <w:sz w:val="19"/>
              </w:rPr>
              <w:t>Europe</w:t>
            </w:r>
          </w:p>
        </w:tc>
        <w:tc>
          <w:tcPr>
            <w:tcW w:type="dxa" w:w="1020"/>
            <w:shd w:val="clear" w:color="auto" w:fill="F3F5F7"/>
          </w:tcPr>
          <w:p>
            <w:r/>
            <w:r>
              <w:rPr>
                <w:sz w:val="19"/>
              </w:rPr>
              <w:t>0</w:t>
            </w:r>
          </w:p>
        </w:tc>
        <w:tc>
          <w:tcPr>
            <w:tcW w:type="dxa" w:w="1814"/>
            <w:shd w:val="clear" w:color="auto" w:fill="F3F5F7"/>
          </w:tcPr>
          <w:p>
            <w:r/>
            <w:r>
              <w:rPr>
                <w:sz w:val="19"/>
              </w:rPr>
              <w:t>– of 37</w:t>
            </w:r>
          </w:p>
        </w:tc>
        <w:tc>
          <w:tcPr>
            <w:tcW w:type="dxa" w:w="4989"/>
            <w:shd w:val="clear" w:color="auto" w:fill="F3F5F7"/>
          </w:tcPr>
          <w:p>
            <w:r/>
            <w:r>
              <w:rPr>
                <w:sz w:val="19"/>
              </w:rPr>
              <w:t>Shown once stories are located</w:t>
            </w:r>
          </w:p>
        </w:tc>
      </w:tr>
      <w:tr>
        <w:tc>
          <w:tcPr>
            <w:tcW w:type="dxa" w:w="1814"/>
          </w:tcPr>
          <w:p>
            <w:r/>
            <w:r>
              <w:rPr>
                <w:sz w:val="19"/>
              </w:rPr>
              <w:t>North America</w:t>
            </w:r>
          </w:p>
        </w:tc>
        <w:tc>
          <w:tcPr>
            <w:tcW w:type="dxa" w:w="1020"/>
          </w:tcPr>
          <w:p>
            <w:r/>
            <w:r>
              <w:rPr>
                <w:sz w:val="19"/>
              </w:rPr>
              <w:t>0</w:t>
            </w:r>
          </w:p>
        </w:tc>
        <w:tc>
          <w:tcPr>
            <w:tcW w:type="dxa" w:w="1814"/>
          </w:tcPr>
          <w:p>
            <w:r/>
            <w:r>
              <w:rPr>
                <w:sz w:val="19"/>
              </w:rPr>
              <w:t>– of 3</w:t>
            </w:r>
          </w:p>
        </w:tc>
        <w:tc>
          <w:tcPr>
            <w:tcW w:type="dxa" w:w="4989"/>
          </w:tcPr>
          <w:p>
            <w:r/>
            <w:r>
              <w:rPr>
                <w:sz w:val="19"/>
              </w:rPr>
              <w:t>Shown once stories are located</w:t>
            </w:r>
          </w:p>
        </w:tc>
      </w:tr>
      <w:tr>
        <w:tc>
          <w:tcPr>
            <w:tcW w:type="dxa" w:w="1814"/>
            <w:shd w:val="clear" w:color="auto" w:fill="F3F5F7"/>
          </w:tcPr>
          <w:p>
            <w:r/>
            <w:r>
              <w:rPr>
                <w:sz w:val="19"/>
              </w:rPr>
              <w:t>South America</w:t>
            </w:r>
          </w:p>
        </w:tc>
        <w:tc>
          <w:tcPr>
            <w:tcW w:type="dxa" w:w="1020"/>
            <w:shd w:val="clear" w:color="auto" w:fill="F3F5F7"/>
          </w:tcPr>
          <w:p>
            <w:r/>
            <w:r>
              <w:rPr>
                <w:sz w:val="19"/>
              </w:rPr>
              <w:t>0</w:t>
            </w:r>
          </w:p>
        </w:tc>
        <w:tc>
          <w:tcPr>
            <w:tcW w:type="dxa" w:w="1814"/>
            <w:shd w:val="clear" w:color="auto" w:fill="F3F5F7"/>
          </w:tcPr>
          <w:p>
            <w:r/>
            <w:r>
              <w:rPr>
                <w:sz w:val="19"/>
              </w:rPr>
              <w:t>– of 11</w:t>
            </w:r>
          </w:p>
        </w:tc>
        <w:tc>
          <w:tcPr>
            <w:tcW w:type="dxa" w:w="4989"/>
            <w:shd w:val="clear" w:color="auto" w:fill="F3F5F7"/>
          </w:tcPr>
          <w:p>
            <w:r/>
            <w:r>
              <w:rPr>
                <w:sz w:val="19"/>
              </w:rPr>
              <w:t>Shown once stories are located</w:t>
            </w:r>
          </w:p>
        </w:tc>
      </w:tr>
    </w:tbl>
    <w:p/>
    <w:p>
      <w:r>
        <w:rPr>
          <w:i/>
          <w:color w:val="5B6573"/>
          <w:sz w:val="18"/>
        </w:rPr>
        <w:t>A story's country is where its event, project or site is, as Claude read it (not the outlet's country or the Google News edition). The map page shows every country and period.</w:t>
      </w:r>
    </w:p>
    <w:p>
      <w:pPr>
        <w:pStyle w:val="Heading1"/>
      </w:pPr>
      <w:r>
        <w:rPr>
          <w:color w:val="16324F"/>
        </w:rPr>
        <w:t>7. Developing stories</w:t>
      </w:r>
    </w:p>
    <w:p>
      <w:r>
        <w:t>No developing stories yet: they appear when a new report follows up an earlier story in the archive (an inquiry into a landslide reported last month, for example).</w:t>
      </w:r>
    </w:p>
    <w:p>
      <w:pPr>
        <w:pStyle w:val="Heading1"/>
      </w:pPr>
      <w:r>
        <w:rPr>
          <w:color w:val="16324F"/>
        </w:rPr>
        <w:t>8. Research papers (Q4 2026)</w:t>
      </w:r>
    </w:p>
    <w:p>
      <w:r>
        <w:t>20 new papers from 12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Journal of Geotechnical and Geoenvironmental Engineering</w:t>
            </w:r>
          </w:p>
        </w:tc>
        <w:tc>
          <w:tcPr>
            <w:tcW w:type="dxa" w:w="1701"/>
          </w:tcPr>
          <w:p>
            <w:r/>
            <w:r>
              <w:rPr>
                <w:sz w:val="19"/>
              </w:rPr>
              <w:t>4</w:t>
            </w:r>
          </w:p>
        </w:tc>
      </w:tr>
      <w:tr>
        <w:tc>
          <w:tcPr>
            <w:tcW w:type="dxa" w:w="6803"/>
            <w:shd w:val="clear" w:color="auto" w:fill="F3F5F7"/>
          </w:tcPr>
          <w:p>
            <w:r/>
            <w:r>
              <w:rPr>
                <w:sz w:val="19"/>
              </w:rPr>
              <w:t>Engineering Geology</w:t>
            </w:r>
          </w:p>
        </w:tc>
        <w:tc>
          <w:tcPr>
            <w:tcW w:type="dxa" w:w="1701"/>
            <w:shd w:val="clear" w:color="auto" w:fill="F3F5F7"/>
          </w:tcPr>
          <w:p>
            <w:r/>
            <w:r>
              <w:rPr>
                <w:sz w:val="19"/>
              </w:rPr>
              <w:t>3</w:t>
            </w:r>
          </w:p>
        </w:tc>
      </w:tr>
      <w:tr>
        <w:tc>
          <w:tcPr>
            <w:tcW w:type="dxa" w:w="6803"/>
          </w:tcPr>
          <w:p>
            <w:r/>
            <w:r>
              <w:rPr>
                <w:sz w:val="19"/>
              </w:rPr>
              <w:t>Transportation Geotechnics</w:t>
            </w:r>
          </w:p>
        </w:tc>
        <w:tc>
          <w:tcPr>
            <w:tcW w:type="dxa" w:w="1701"/>
          </w:tcPr>
          <w:p>
            <w:r/>
            <w:r>
              <w:rPr>
                <w:sz w:val="19"/>
              </w:rPr>
              <w:t>2</w:t>
            </w:r>
          </w:p>
        </w:tc>
      </w:tr>
      <w:tr>
        <w:tc>
          <w:tcPr>
            <w:tcW w:type="dxa" w:w="6803"/>
            <w:shd w:val="clear" w:color="auto" w:fill="F3F5F7"/>
          </w:tcPr>
          <w:p>
            <w:r/>
            <w:r>
              <w:rPr>
                <w:sz w:val="19"/>
              </w:rPr>
              <w:t>Computers and Geotechnics</w:t>
            </w:r>
          </w:p>
        </w:tc>
        <w:tc>
          <w:tcPr>
            <w:tcW w:type="dxa" w:w="1701"/>
            <w:shd w:val="clear" w:color="auto" w:fill="F3F5F7"/>
          </w:tcPr>
          <w:p>
            <w:r/>
            <w:r>
              <w:rPr>
                <w:sz w:val="19"/>
              </w:rPr>
              <w:t>2</w:t>
            </w:r>
          </w:p>
        </w:tc>
      </w:tr>
      <w:tr>
        <w:tc>
          <w:tcPr>
            <w:tcW w:type="dxa" w:w="6803"/>
          </w:tcPr>
          <w:p>
            <w:r/>
            <w:r>
              <w:rPr>
                <w:sz w:val="19"/>
              </w:rPr>
              <w:t>Tunnelling and Underground Space Technology</w:t>
            </w:r>
          </w:p>
        </w:tc>
        <w:tc>
          <w:tcPr>
            <w:tcW w:type="dxa" w:w="1701"/>
          </w:tcPr>
          <w:p>
            <w:r/>
            <w:r>
              <w:rPr>
                <w:sz w:val="19"/>
              </w:rPr>
              <w:t>2</w:t>
            </w:r>
          </w:p>
        </w:tc>
      </w:tr>
      <w:tr>
        <w:tc>
          <w:tcPr>
            <w:tcW w:type="dxa" w:w="6803"/>
            <w:shd w:val="clear" w:color="auto" w:fill="F3F5F7"/>
          </w:tcPr>
          <w:p>
            <w:r/>
            <w:r>
              <w:rPr>
                <w:sz w:val="19"/>
              </w:rPr>
              <w:t>Landslides</w:t>
            </w:r>
          </w:p>
        </w:tc>
        <w:tc>
          <w:tcPr>
            <w:tcW w:type="dxa" w:w="1701"/>
            <w:shd w:val="clear" w:color="auto" w:fill="F3F5F7"/>
          </w:tcPr>
          <w:p>
            <w:r/>
            <w:r>
              <w:rPr>
                <w:sz w:val="19"/>
              </w:rPr>
              <w:t>1</w:t>
            </w:r>
          </w:p>
        </w:tc>
      </w:tr>
      <w:tr>
        <w:tc>
          <w:tcPr>
            <w:tcW w:type="dxa" w:w="6803"/>
          </w:tcPr>
          <w:p>
            <w:r/>
            <w:r>
              <w:rPr>
                <w:sz w:val="19"/>
              </w:rPr>
              <w:t>Soils and Foundations</w:t>
            </w:r>
          </w:p>
        </w:tc>
        <w:tc>
          <w:tcPr>
            <w:tcW w:type="dxa" w:w="1701"/>
          </w:tcPr>
          <w:p>
            <w:r/>
            <w:r>
              <w:rPr>
                <w:sz w:val="19"/>
              </w:rPr>
              <w:t>1</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1</w:t>
            </w:r>
          </w:p>
        </w:tc>
      </w:tr>
      <w:tr>
        <w:tc>
          <w:tcPr>
            <w:tcW w:type="dxa" w:w="6803"/>
          </w:tcPr>
          <w:p>
            <w:r/>
            <w:r>
              <w:rPr>
                <w:sz w:val="19"/>
              </w:rPr>
              <w:t>Acta Geotechnica</w:t>
            </w:r>
          </w:p>
        </w:tc>
        <w:tc>
          <w:tcPr>
            <w:tcW w:type="dxa" w:w="1701"/>
          </w:tcPr>
          <w:p>
            <w:r/>
            <w:r>
              <w:rPr>
                <w:sz w:val="19"/>
              </w:rPr>
              <w:t>1</w:t>
            </w:r>
          </w:p>
        </w:tc>
      </w:tr>
      <w:tr>
        <w:tc>
          <w:tcPr>
            <w:tcW w:type="dxa" w:w="6803"/>
            <w:shd w:val="clear" w:color="auto" w:fill="F3F5F7"/>
          </w:tcPr>
          <w:p>
            <w:r/>
            <w:r>
              <w:rPr>
                <w:sz w:val="19"/>
              </w:rPr>
              <w:t>Soil Dynamics and Earthquake Engineering</w:t>
            </w:r>
          </w:p>
        </w:tc>
        <w:tc>
          <w:tcPr>
            <w:tcW w:type="dxa" w:w="1701"/>
            <w:shd w:val="clear" w:color="auto" w:fill="F3F5F7"/>
          </w:tcPr>
          <w:p>
            <w:r/>
            <w:r>
              <w:rPr>
                <w:sz w:val="19"/>
              </w:rPr>
              <w:t>1</w:t>
            </w:r>
          </w:p>
        </w:tc>
      </w:tr>
      <w:tr>
        <w:tc>
          <w:tcPr>
            <w:tcW w:type="dxa" w:w="6803"/>
          </w:tcPr>
          <w:p>
            <w:r/>
            <w:r>
              <w:rPr>
                <w:sz w:val="19"/>
              </w:rPr>
              <w:t>Georisk: Assessment and Management of Risk for Engineered Systems and Geohazards</w:t>
            </w:r>
          </w:p>
        </w:tc>
        <w:tc>
          <w:tcPr>
            <w:tcW w:type="dxa" w:w="1701"/>
          </w:tcPr>
          <w:p>
            <w:r/>
            <w:r>
              <w:rPr>
                <w:sz w:val="19"/>
              </w:rPr>
              <w:t>1</w:t>
            </w:r>
          </w:p>
        </w:tc>
      </w:tr>
      <w:tr>
        <w:tc>
          <w:tcPr>
            <w:tcW w:type="dxa" w:w="6803"/>
            <w:shd w:val="clear" w:color="auto" w:fill="F3F5F7"/>
          </w:tcPr>
          <w:p>
            <w:r/>
            <w:r>
              <w:rPr>
                <w:sz w:val="19"/>
              </w:rPr>
              <w:t>Underground Space</w:t>
            </w:r>
          </w:p>
        </w:tc>
        <w:tc>
          <w:tcPr>
            <w:tcW w:type="dxa" w:w="1701"/>
            <w:shd w:val="clear" w:color="auto" w:fill="F3F5F7"/>
          </w:tcPr>
          <w:p>
            <w:r/>
            <w:r>
              <w:rPr>
                <w:sz w:val="19"/>
              </w:rPr>
              <w:t>1</w:t>
            </w:r>
          </w:p>
        </w:tc>
      </w:tr>
    </w:tbl>
    <w:p/>
    <w:p>
      <w:pPr>
        <w:pStyle w:val="ListBullet"/>
      </w:pPr>
      <w:r>
        <w:rPr>
          <w:b/>
        </w:rPr>
        <w:t>Secondary Compression of Deep Foundations in Carbonate Soils: An InSAR Study of Sunny Isles, Florida</w:t>
      </w:r>
      <w:r>
        <w:t xml:space="preserve"> — Journal of Geotechnical and Geoenvironmental Engineering, 2026-10-24. Six years of InSAR data show building-specific settlements in carbonate soils that continue after construction, so engineers should plan for long-term deformation and monitoring of deep foundations.</w:t>
      </w:r>
    </w:p>
    <w:p>
      <w:pPr>
        <w:pStyle w:val="ListBullet"/>
      </w:pPr>
      <w:r>
        <w:rPr>
          <w:b/>
        </w:rPr>
        <w:t>Probabilistic State Parameter–Based Liquefaction Triggering Model</w:t>
      </w:r>
      <w:r>
        <w:t xml:space="preserve"> — Journal of Geotechnical and Geoenvironmental Engineering, 2026-10-20. A lab-anchored, state-parameter liquefaction triggering model offers an alternative to case-history procedures that can be biased, and it is validated against CPTu data practitioners already use.</w:t>
      </w:r>
    </w:p>
    <w:p>
      <w:pPr>
        <w:pStyle w:val="ListBullet"/>
      </w:pPr>
      <w:r>
        <w:rPr>
          <w:b/>
        </w:rPr>
        <w:t>Experimental investigation on deformation behavior of pile-supported embankments with geogrid-tire cells reinforcement</w:t>
      </w:r>
      <w:r>
        <w:t xml:space="preserve"> — Transportation Geotechnics, 2026-10-23. Experimental results on pile-supported embankments with geogrid-tire cells give practical guidance on deformation behaviour and load transfer for low-cost reinforced embankment design.</w:t>
      </w:r>
    </w:p>
    <w:p>
      <w:pPr>
        <w:pStyle w:val="ListBullet"/>
      </w:pPr>
      <w:r>
        <w:rPr>
          <w:b/>
        </w:rPr>
        <w:t>From rockfall to landslide: early warning based on video monitoring in open-pit mines</w:t>
      </w:r>
      <w:r>
        <w:t xml:space="preserve"> — Landslides, 2026-10-20. Video monitoring workflows that link rockfall events to developing landslides give open-pit mine operators a practical early-warning approach they could deploy now.</w:t>
      </w:r>
    </w:p>
    <w:p>
      <w:pPr>
        <w:pStyle w:val="ListBullet"/>
      </w:pPr>
      <w:r>
        <w:rPr>
          <w:b/>
        </w:rPr>
        <w:t>Stiffness compatibility in geosynthetic-reinforced column-supported embankment widening over soft ground: numerical insights and a design framework</w:t>
      </w:r>
      <w:r>
        <w:t xml:space="preserve"> — Soils and Foundations, 2026-10-22. A stiffness-compatibility design framework for geosynthetic-reinforced column-supported embankment widening addresses differential settlement issues that practitioners face when widening existing embankments.</w:t>
      </w:r>
    </w:p>
    <w:p>
      <w:pPr>
        <w:pStyle w:val="ListBullet"/>
      </w:pPr>
      <w:r>
        <w:rPr>
          <w:b/>
        </w:rPr>
        <w:t>Extended soil-arching analysis for piled embankments with rectangular pile layouts</w:t>
      </w:r>
      <w:r>
        <w:t xml:space="preserve"> — Proceedings of the Institution of Civil Engineers - Geotechnical Engineering, 2026-10-21. Extended soil-arching solutions for rectangular pile layouts, with error quantified against the equivalent-square simplification, give designers a more accurate load-transfer method for piled embankments.</w:t>
      </w:r>
    </w:p>
    <w:p>
      <w:pPr>
        <w:pStyle w:val="ListBullet"/>
      </w:pPr>
      <w:r>
        <w:rPr>
          <w:b/>
        </w:rPr>
        <w:t>Stability analysis of geotextile tube tailings dams under inclined stacking: composite failure mechanism and oblique horizontal slice method</w:t>
      </w:r>
      <w:r>
        <w:t xml:space="preserve"> — Acta Geotechnica, 2026-10-20. A composite failure mechanism and slice method for geotextile tube tailings dams under inclined stacking provide a stability check that practitioners can use for tailings management.</w:t>
      </w:r>
    </w:p>
    <w:p>
      <w:pPr>
        <w:pStyle w:val="ListBullet"/>
      </w:pPr>
      <w:r>
        <w:rPr>
          <w:b/>
        </w:rPr>
        <w:t>A unified experimental-numerical assessment of Cable, Pile, and Zone solid rockbolt models in FLAC3D: bond-slip, load transfer, and model selection</w:t>
      </w:r>
      <w:r>
        <w:t xml:space="preserve"> — Computers and Geotechnics, 2026-10-20. A combined experimental and numerical comparison of FLAC3D rockbolt models helps engineers select the appropriate bolt model and calibrate bond-slip parameters for support design.</w:t>
      </w:r>
    </w:p>
    <w:p>
      <w:pPr>
        <w:pStyle w:val="Heading1"/>
      </w:pPr>
      <w:r>
        <w:rPr>
          <w:color w:val="16324F"/>
        </w:rPr>
        <w:t>9. Issue briefs</w:t>
      </w:r>
    </w:p>
    <w:p>
      <w:r>
        <w:t>Claude drafts a brief for each issue window: a proposed line-up per theme, feature leads, Academia-to-Industry topics, a regional-balance check, gaps worth covering, and the window's developing stories and events.</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pPr>
        <w:pStyle w:val="Heading1"/>
      </w:pPr>
      <w:r>
        <w:rPr>
          <w:color w:val="16324F"/>
        </w:rPr>
        <w:t>10. Events calendar</w:t>
      </w:r>
    </w:p>
    <w:p>
      <w:r>
        <w:t>The calendar holds 6 events: 6 from the editors' list (data/events.yaml) and 0 found by the weekly refresh, which has not run yet (it needs the ANTHROPIC_API_KEY secret and Anthropic's web search and web fetch tools).</w:t>
      </w:r>
    </w:p>
    <w:p>
      <w:r>
        <w:t>No deadline (call for papers, registration) falls in the next 90 days.</w:t>
      </w:r>
    </w:p>
    <w:p>
      <w:pPr>
        <w:pStyle w:val="Heading2"/>
      </w:pPr>
      <w:r>
        <w:rPr>
          <w:color w:val="23466B"/>
        </w:rPr>
        <w:t>Events in the next 12 months</w:t>
      </w:r>
    </w:p>
    <w:tbl>
      <w:tblPr>
        <w:tblStyle w:val="TableGrid"/>
        <w:tblW w:type="auto" w:w="0"/>
        <w:jc w:val="center"/>
        <w:tblLayout w:type="fixed"/>
        <w:tblLook w:firstColumn="1" w:firstRow="1" w:lastColumn="0" w:lastRow="0" w:noHBand="0" w:noVBand="1" w:val="04A0"/>
      </w:tblPr>
      <w:tblGrid>
        <w:gridCol w:w="1361"/>
        <w:gridCol w:w="4535"/>
        <w:gridCol w:w="2041"/>
        <w:gridCol w:w="1701"/>
      </w:tblGrid>
      <w:tr>
        <w:tc>
          <w:tcPr>
            <w:tcW w:type="dxa" w:w="1361"/>
            <w:shd w:val="clear" w:color="auto" w:fill="16324F"/>
          </w:tcPr>
          <w:p>
            <w:r/>
            <w:r>
              <w:rPr>
                <w:b/>
                <w:color w:val="FFFFFF"/>
                <w:sz w:val="19"/>
              </w:rPr>
              <w:t>Starts</w:t>
            </w:r>
          </w:p>
        </w:tc>
        <w:tc>
          <w:tcPr>
            <w:tcW w:type="dxa" w:w="4535"/>
            <w:shd w:val="clear" w:color="auto" w:fill="16324F"/>
          </w:tcPr>
          <w:p>
            <w:r/>
            <w:r>
              <w:rPr>
                <w:b/>
                <w:color w:val="FFFFFF"/>
                <w:sz w:val="19"/>
              </w:rPr>
              <w:t>Event</w:t>
            </w:r>
          </w:p>
        </w:tc>
        <w:tc>
          <w:tcPr>
            <w:tcW w:type="dxa" w:w="2041"/>
            <w:shd w:val="clear" w:color="auto" w:fill="16324F"/>
          </w:tcPr>
          <w:p>
            <w:r/>
            <w:r>
              <w:rPr>
                <w:b/>
                <w:color w:val="FFFFFF"/>
                <w:sz w:val="19"/>
              </w:rPr>
              <w:t>Where</w:t>
            </w:r>
          </w:p>
        </w:tc>
        <w:tc>
          <w:tcPr>
            <w:tcW w:type="dxa" w:w="1701"/>
            <w:shd w:val="clear" w:color="auto" w:fill="16324F"/>
          </w:tcPr>
          <w:p>
            <w:r/>
            <w:r>
              <w:rPr>
                <w:b/>
                <w:color w:val="FFFFFF"/>
                <w:sz w:val="19"/>
              </w:rPr>
              <w:t>Kind</w:t>
            </w:r>
          </w:p>
        </w:tc>
      </w:tr>
      <w:tr>
        <w:tc>
          <w:tcPr>
            <w:tcW w:type="dxa" w:w="1361"/>
          </w:tcPr>
          <w:p>
            <w:r/>
            <w:r>
              <w:rPr>
                <w:sz w:val="19"/>
              </w:rPr>
              <w:t>1 Mar 2027</w:t>
            </w:r>
          </w:p>
        </w:tc>
        <w:tc>
          <w:tcPr>
            <w:tcW w:type="dxa" w:w="4535"/>
          </w:tcPr>
          <w:p>
            <w:r/>
            <w:r>
              <w:rPr>
                <w:sz w:val="19"/>
              </w:rPr>
              <w:t>Geo-Congress 2027, part of ASCE2027</w:t>
            </w:r>
          </w:p>
        </w:tc>
        <w:tc>
          <w:tcPr>
            <w:tcW w:type="dxa" w:w="2041"/>
          </w:tcPr>
          <w:p>
            <w:r/>
            <w:r>
              <w:rPr>
                <w:sz w:val="19"/>
              </w:rPr>
              <w:t>Philadelphia, United States</w:t>
            </w:r>
          </w:p>
        </w:tc>
        <w:tc>
          <w:tcPr>
            <w:tcW w:type="dxa" w:w="1701"/>
          </w:tcPr>
          <w:p>
            <w:r/>
            <w:r>
              <w:rPr>
                <w:sz w:val="19"/>
              </w:rPr>
              <w:t>Other conference</w:t>
            </w:r>
          </w:p>
        </w:tc>
      </w:tr>
      <w:tr>
        <w:tc>
          <w:tcPr>
            <w:tcW w:type="dxa" w:w="1361"/>
            <w:shd w:val="clear" w:color="auto" w:fill="F3F5F7"/>
          </w:tcPr>
          <w:p>
            <w:r/>
            <w:r>
              <w:rPr>
                <w:sz w:val="19"/>
              </w:rPr>
              <w:t>12 Apr 2027</w:t>
            </w:r>
          </w:p>
        </w:tc>
        <w:tc>
          <w:tcPr>
            <w:tcW w:type="dxa" w:w="4535"/>
            <w:shd w:val="clear" w:color="auto" w:fill="F3F5F7"/>
          </w:tcPr>
          <w:p>
            <w:r/>
            <w:r>
              <w:rPr>
                <w:sz w:val="19"/>
              </w:rPr>
              <w:t>2nd International Symposium on Ground Improvement</w:t>
            </w:r>
          </w:p>
        </w:tc>
        <w:tc>
          <w:tcPr>
            <w:tcW w:type="dxa" w:w="2041"/>
            <w:shd w:val="clear" w:color="auto" w:fill="F3F5F7"/>
          </w:tcPr>
          <w:p>
            <w:r/>
            <w:r>
              <w:rPr>
                <w:sz w:val="19"/>
              </w:rPr>
              <w:t>Lyon, France</w:t>
            </w:r>
          </w:p>
        </w:tc>
        <w:tc>
          <w:tcPr>
            <w:tcW w:type="dxa" w:w="1701"/>
            <w:shd w:val="clear" w:color="auto" w:fill="F3F5F7"/>
          </w:tcPr>
          <w:p>
            <w:r/>
            <w:r>
              <w:rPr>
                <w:sz w:val="19"/>
              </w:rPr>
              <w:t>ISSMGE-supported</w:t>
            </w:r>
          </w:p>
        </w:tc>
      </w:tr>
      <w:tr>
        <w:tc>
          <w:tcPr>
            <w:tcW w:type="dxa" w:w="1361"/>
          </w:tcPr>
          <w:p>
            <w:r/>
            <w:r>
              <w:rPr>
                <w:sz w:val="19"/>
              </w:rPr>
              <w:t>23 Apr 2027</w:t>
            </w:r>
          </w:p>
        </w:tc>
        <w:tc>
          <w:tcPr>
            <w:tcW w:type="dxa" w:w="4535"/>
          </w:tcPr>
          <w:p>
            <w:r/>
            <w:r>
              <w:rPr>
                <w:sz w:val="19"/>
              </w:rPr>
              <w:t>ITA-AITES World Tunnel Congress 2027</w:t>
            </w:r>
          </w:p>
        </w:tc>
        <w:tc>
          <w:tcPr>
            <w:tcW w:type="dxa" w:w="2041"/>
          </w:tcPr>
          <w:p>
            <w:r/>
            <w:r>
              <w:rPr>
                <w:sz w:val="19"/>
              </w:rPr>
              <w:t>Antwerp, Belgium</w:t>
            </w:r>
          </w:p>
        </w:tc>
        <w:tc>
          <w:tcPr>
            <w:tcW w:type="dxa" w:w="1701"/>
          </w:tcPr>
          <w:p>
            <w:r/>
            <w:r>
              <w:rPr>
                <w:sz w:val="19"/>
              </w:rPr>
              <w:t>Other conference</w:t>
            </w:r>
          </w:p>
        </w:tc>
      </w:tr>
      <w:tr>
        <w:tc>
          <w:tcPr>
            <w:tcW w:type="dxa" w:w="1361"/>
            <w:shd w:val="clear" w:color="auto" w:fill="F3F5F7"/>
          </w:tcPr>
          <w:p>
            <w:r/>
            <w:r>
              <w:rPr>
                <w:sz w:val="19"/>
              </w:rPr>
              <w:t>28 Jun 2027</w:t>
            </w:r>
          </w:p>
        </w:tc>
        <w:tc>
          <w:tcPr>
            <w:tcW w:type="dxa" w:w="4535"/>
            <w:shd w:val="clear" w:color="auto" w:fill="F3F5F7"/>
          </w:tcPr>
          <w:p>
            <w:r/>
            <w:r>
              <w:rPr>
                <w:sz w:val="19"/>
              </w:rPr>
              <w:t>International Conference on Sustainability in Geotechnical Engineering</w:t>
            </w:r>
          </w:p>
        </w:tc>
        <w:tc>
          <w:tcPr>
            <w:tcW w:type="dxa" w:w="2041"/>
            <w:shd w:val="clear" w:color="auto" w:fill="F3F5F7"/>
          </w:tcPr>
          <w:p>
            <w:r/>
            <w:r>
              <w:rPr>
                <w:sz w:val="19"/>
              </w:rPr>
              <w:t>Lisbon, Portugal</w:t>
            </w:r>
          </w:p>
        </w:tc>
        <w:tc>
          <w:tcPr>
            <w:tcW w:type="dxa" w:w="1701"/>
            <w:shd w:val="clear" w:color="auto" w:fill="F3F5F7"/>
          </w:tcPr>
          <w:p>
            <w:r/>
            <w:r>
              <w:rPr>
                <w:sz w:val="19"/>
              </w:rPr>
              <w:t>ISSMGE-supported</w:t>
            </w:r>
          </w:p>
        </w:tc>
      </w:tr>
      <w:tr>
        <w:tc>
          <w:tcPr>
            <w:tcW w:type="dxa" w:w="1361"/>
          </w:tcPr>
          <w:p>
            <w:r/>
            <w:r>
              <w:rPr>
                <w:sz w:val="19"/>
              </w:rPr>
              <w:t>14 Sep 2027</w:t>
            </w:r>
          </w:p>
        </w:tc>
        <w:tc>
          <w:tcPr>
            <w:tcW w:type="dxa" w:w="4535"/>
          </w:tcPr>
          <w:p>
            <w:r/>
            <w:r>
              <w:rPr>
                <w:sz w:val="19"/>
              </w:rPr>
              <w:t>9th International Symposium on Deformation Characteristics of Geomaterials</w:t>
            </w:r>
          </w:p>
        </w:tc>
        <w:tc>
          <w:tcPr>
            <w:tcW w:type="dxa" w:w="2041"/>
          </w:tcPr>
          <w:p>
            <w:r/>
            <w:r>
              <w:rPr>
                <w:sz w:val="19"/>
              </w:rPr>
              <w:t>Ankara, Türkiye</w:t>
            </w:r>
          </w:p>
        </w:tc>
        <w:tc>
          <w:tcPr>
            <w:tcW w:type="dxa" w:w="1701"/>
          </w:tcPr>
          <w:p>
            <w:r/>
            <w:r>
              <w:rPr>
                <w:sz w:val="19"/>
              </w:rPr>
              <w:t>ISSMGE-supported</w:t>
            </w:r>
          </w:p>
        </w:tc>
      </w:tr>
    </w:tbl>
    <w:p/>
    <w:p>
      <w:pPr>
        <w:pStyle w:val="Heading1"/>
      </w:pPr>
      <w:r>
        <w:rPr>
          <w:color w:val="16324F"/>
        </w:rPr>
        <w:t>11. E-mail alerts and weekly summary</w:t>
      </w:r>
    </w:p>
    <w:p>
      <w:r>
        <w:t>Settings (config.yaml, alerts): an alert after any scan that finds a new story rated 5/5 and the weekly summary every Monday. Whether e-mail is set up (the NOTIFY_TOKEN or SMTP secrets) cannot be seen when this report is made; below is what the news desk recorded as sent.</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Stories alerted (last 60 days)</w:t>
            </w:r>
          </w:p>
        </w:tc>
        <w:tc>
          <w:tcPr>
            <w:tcW w:type="dxa" w:w="5102"/>
          </w:tcPr>
          <w:p>
            <w:r/>
            <w:r>
              <w:rPr>
                <w:sz w:val="19"/>
              </w:rPr>
              <w:t>0</w:t>
            </w:r>
          </w:p>
        </w:tc>
      </w:tr>
      <w:tr>
        <w:tc>
          <w:tcPr>
            <w:tcW w:type="dxa" w:w="4535"/>
            <w:shd w:val="clear" w:color="auto" w:fill="F3F5F7"/>
          </w:tcPr>
          <w:p>
            <w:r/>
            <w:r>
              <w:rPr>
                <w:sz w:val="19"/>
              </w:rPr>
              <w:t>Latest alert</w:t>
            </w:r>
          </w:p>
        </w:tc>
        <w:tc>
          <w:tcPr>
            <w:tcW w:type="dxa" w:w="5102"/>
            <w:shd w:val="clear" w:color="auto" w:fill="F3F5F7"/>
          </w:tcPr>
          <w:p>
            <w:r/>
            <w:r>
              <w:rPr>
                <w:sz w:val="19"/>
              </w:rPr>
              <w:t>none recorded</w:t>
            </w:r>
          </w:p>
        </w:tc>
      </w:tr>
      <w:tr>
        <w:tc>
          <w:tcPr>
            <w:tcW w:type="dxa" w:w="4535"/>
          </w:tcPr>
          <w:p>
            <w:r/>
            <w:r>
              <w:rPr>
                <w:sz w:val="19"/>
              </w:rPr>
              <w:t>Weekly summaries e-mailed</w:t>
            </w:r>
          </w:p>
        </w:tc>
        <w:tc>
          <w:tcPr>
            <w:tcW w:type="dxa" w:w="5102"/>
          </w:tcPr>
          <w:p>
            <w:r/>
            <w:r>
              <w:rPr>
                <w:sz w:val="19"/>
              </w:rPr>
              <w:t>0</w:t>
            </w:r>
          </w:p>
        </w:tc>
      </w:tr>
    </w:tbl>
    <w:p/>
    <w:p>
      <w:r>
        <w:t>No weekly summary has been e-mailed yet. Every week's summary is still on the website (Archive → Weekly summaries).</w:t>
      </w:r>
    </w:p>
    <w:p>
      <w:pPr>
        <w:pStyle w:val="Heading1"/>
      </w:pPr>
      <w:r>
        <w:rPr>
          <w:color w:val="16324F"/>
        </w:rPr>
        <w:t>12. Change log</w:t>
      </w:r>
    </w:p>
    <w:p>
      <w:pPr>
        <w:spacing w:before="160"/>
      </w:pPr>
      <w:r>
        <w:rPr>
          <w:b/>
          <w:color w:val="23466B"/>
        </w:rPr>
        <w:t>2026-10-24 · World map, developing stories, events calendar, alerts and weekly summary</w:t>
      </w:r>
    </w:p>
    <w:p>
      <w:pPr>
        <w:pStyle w:val="ListBullet"/>
      </w:pPr>
      <w:r>
        <w:t>World map - Claude now reads the country and the town, region or site of every story during triage (the place of the event, not the outlet), and stories archived earlier are located after each scan. The new World map page shows stories by country for any issue window, the last 30 days or the whole archive, with ISSMGE's six regions and the member-society countries that had no stories. Issue pages, the weekly summaries and this report show the same regional figures.</w:t>
      </w:r>
    </w:p>
    <w:p>
      <w:pPr>
        <w:pStyle w:val="ListBullet"/>
      </w:pPr>
      <w:r>
        <w:t>Developing stories - each scan links a follow-up report to the earlier story about the same event, project or site and names the stage it reports (event, response and recovery, investigation and inquiry, repair and reconstruction, legal and policy, update). The new Developing stories page gives each one a timeline; story cards and search results carry a Developing story chip, and issue pages list the developing stories of the quarter.</w:t>
      </w:r>
    </w:p>
    <w:p>
      <w:pPr>
        <w:pStyle w:val="ListBullet"/>
      </w:pPr>
      <w:r>
        <w:t>Events calendar - a new Events page lists ISSMGE conferences, other conferences and courses with their deadlines (calls for papers, registration), from the editors' list (data/events.yaml, editable on GitHub) and a weekly refresh in which Claude reads ten organiser calendars with web search; the Refresh calendar button refreshes it at any time. It can be subscribed to as a calendar feed (events.ics), and the next deadlines and events appear beside the news on the Latest page and on the current issue page.</w:t>
      </w:r>
    </w:p>
    <w:p>
      <w:pPr>
        <w:pStyle w:val="ListBullet"/>
      </w:pPr>
      <w:r>
        <w:t>Alerts and weekly summary - an e-mail after any scan that finds a new 5/5 story, and every Monday a summary of the past week for the editorial team. E-mail goes out through the AI assistant's Google connector (assistant/bridge.gs, with a NOTIFY_TOKEN) or a mail server. Every week's summary is also a web page, listed on the Archive page, with a Send summary now button.</w:t>
      </w:r>
    </w:p>
    <w:p>
      <w:pPr>
        <w:pStyle w:val="ListBullet"/>
      </w:pPr>
      <w:r>
        <w:t>Linked up across the site - the Latest page has a column beside the news (this week and its summary, upcoming events and deadlines, recently updated developing stories); story cards show where each story happened; the issue brief now lists the quarter's developing stories and the events and deadlines up to six months after it, and Claude uses them for feature leads and the watch list; the Excel workbooks and CSV files have Country, Place and Developing story columns and the workbooks an Events sheet; the AI assistant answers questions about upcoming conferences and the latest on a developing story; this report has new sections on regional coverage, developing stories, the events calendar and the e-mails sent.</w:t>
      </w:r>
    </w:p>
    <w:p>
      <w:pPr>
        <w:pStyle w:val="ListBullet"/>
      </w:pPr>
      <w:r>
        <w:t>The menu has nine pages and stays tidy on every screen (shorter names on tablets, a three-by-three grid on phones). A page that cannot be built is now reported and left out instead of stopping the whole website rebuild.</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13. Open items and recommendations</w:t>
      </w:r>
    </w:p>
    <w:p>
      <w:pPr>
        <w:pStyle w:val="ListBullet"/>
      </w:pPr>
      <w:r>
        <w:t>Set up e-mail: until then no alert or weekly summary is sent (each run's log shows what would have gone out). Paste the new assistant/bridge.gs into the Apps Script project, add the Script property NOTIFY_TOKEN (and MAIL_TO if needed), run testEmail once, deploy a new version, add the same NOTIFY_TOKEN as a GitHub secret, and run the Events calendar and weekly summary workflow with send a test e-mail (README, E-mail alerts and the weekly summary). A mail server (SMTP secrets) also works.</w:t>
      </w:r>
    </w:p>
    <w:p>
      <w:pPr>
        <w:pStyle w:val="ListBullet"/>
      </w:pPr>
      <w:r>
        <w:t>ISSMGE member lists on the world map: the lists for Europe (37 of the 38 societies) and Africa (8 of 13) are incomplete and marked to_check in config.yaml (map: regions). Check them against issmge.org/member-societies, complete them and remove to_check; the map then marks the gaps in those regions correctly.</w:t>
      </w:r>
    </w:p>
    <w:p>
      <w:pPr>
        <w:pStyle w:val="ListBullet"/>
      </w:pPr>
      <w:r>
        <w:t>Events calendar: the weekly refresh needs Anthropic's web search and web fetch tools allowed for the organisation that owns the API key (Claude Console). After the first refresh, read Notes from the last calendar refresh at the foot of the Events page, and add or correct events in data/events.yaml.</w:t>
      </w:r>
    </w:p>
    <w:p>
      <w:pPr>
        <w:pStyle w:val="ListBullet"/>
      </w:pPr>
      <w:r>
        <w:t>Developing stories and locations are suggestions: check a linked report or a story's place at its source before using it. Archived stories are located in batches after each scan, so the map fills in over the first few days.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