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10:17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spacing w:after="60"/>
      </w:pPr>
      <w:r>
        <w:rPr>
          <w:b/>
          <w:color w:val="5B6573"/>
        </w:rPr>
        <w:t xml:space="preserve">• </w:t>
      </w:r>
      <w:r>
        <w:t>0 of the 47 rated stories name a primary source to check the facts with (stories rated before primary sources were asked for have none).</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hyperlink r:id="rId10">
        <w:r>
          <w:rPr>
            <w:b/>
            <w:color w:val="1D5A8A"/>
            <w:u w:val="single"/>
          </w:rPr>
          <w:t>Secondary Compression of Deep Foundations in Carbonate Soils: An InSAR Study of Sunny Isles, Florida</w:t>
        </w:r>
      </w:hyperlink>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hyperlink r:id="rId11">
        <w:r>
          <w:rPr>
            <w:b/>
            <w:color w:val="1D5A8A"/>
            <w:u w:val="single"/>
          </w:rPr>
          <w:t>Probabilistic State Parameter–Based Liquefaction Triggering Model</w:t>
        </w:r>
      </w:hyperlink>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hyperlink r:id="rId12">
        <w:r>
          <w:rPr>
            <w:b/>
            <w:color w:val="1D5A8A"/>
            <w:u w:val="single"/>
          </w:rPr>
          <w:t>Experimental investigation on deformation behavior of pile-supported embankments with geogrid-tire cells reinforcement</w:t>
        </w:r>
      </w:hyperlink>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hyperlink r:id="rId13">
        <w:r>
          <w:rPr>
            <w:b/>
            <w:color w:val="1D5A8A"/>
            <w:u w:val="single"/>
          </w:rPr>
          <w:t>From rockfall to landslide: early warning based on video monitoring in open-pit mines</w:t>
        </w:r>
      </w:hyperlink>
      <w:r>
        <w:t xml:space="preserve"> — Landslides, 2026-10-20. Video monitoring workflows that link rockfall events to developing landslides give open-pit mine operators a practical early-warning approach they could deploy now.</w:t>
      </w:r>
    </w:p>
    <w:p>
      <w:pPr>
        <w:pStyle w:val="ListBullet"/>
      </w:pPr>
      <w:hyperlink r:id="rId14">
        <w:r>
          <w:rPr>
            <w:b/>
            <w:color w:val="1D5A8A"/>
            <w:u w:val="single"/>
          </w:rPr>
          <w:t>Stiffness compatibility in geosynthetic-reinforced column-supported embankment widening over soft ground: numerical insights and a design framework</w:t>
        </w:r>
      </w:hyperlink>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hyperlink r:id="rId15">
        <w:r>
          <w:rPr>
            <w:b/>
            <w:color w:val="1D5A8A"/>
            <w:u w:val="single"/>
          </w:rPr>
          <w:t>Extended soil-arching analysis for piled embankments with rectangular pile layouts</w:t>
        </w:r>
      </w:hyperlink>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hyperlink r:id="rId16">
        <w:r>
          <w:rPr>
            <w:b/>
            <w:color w:val="1D5A8A"/>
            <w:u w:val="single"/>
          </w:rPr>
          <w:t>Stability analysis of geotextile tube tailings dams under inclined stacking: composite failure mechanism and oblique horizontal slice method</w:t>
        </w:r>
      </w:hyperlink>
      <w:r>
        <w:t xml:space="preserve"> — Acta Geotechnica, 2026-10-20. A composite failure mechanism and slice method for geotextile tube tailings dams under inclined stacking provide a stability check that practitioners can use for tailings management.</w:t>
      </w:r>
    </w:p>
    <w:p>
      <w:pPr>
        <w:pStyle w:val="ListBullet"/>
      </w:pPr>
      <w:hyperlink r:id="rId17">
        <w:r>
          <w:rPr>
            <w:b/>
            <w:color w:val="1D5A8A"/>
            <w:u w:val="single"/>
          </w:rPr>
          <w:t>A unified experimental-numerical assessment of Cable, Pile, and Zone solid rockbolt models in FLAC3D: bond-slip, load transfer, and model selection</w:t>
        </w:r>
      </w:hyperlink>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61/jggefk.gteng-15394" TargetMode="External"/><Relationship Id="rId11" Type="http://schemas.openxmlformats.org/officeDocument/2006/relationships/hyperlink" Target="https://doi.org/10.1061/jggefk.gteng-15418" TargetMode="External"/><Relationship Id="rId12" Type="http://schemas.openxmlformats.org/officeDocument/2006/relationships/hyperlink" Target="https://doi.org/10.1016/j.trgeo.2026.102499" TargetMode="External"/><Relationship Id="rId13" Type="http://schemas.openxmlformats.org/officeDocument/2006/relationships/hyperlink" Target="https://doi.org/10.1007/s10346-026-02861-3" TargetMode="External"/><Relationship Id="rId14" Type="http://schemas.openxmlformats.org/officeDocument/2006/relationships/hyperlink" Target="https://doi.org/10.1016/j.sandf.2026.101892" TargetMode="External"/><Relationship Id="rId15" Type="http://schemas.openxmlformats.org/officeDocument/2006/relationships/hyperlink" Target="https://doi.org/10.1680/jgeen.26.00025" TargetMode="External"/><Relationship Id="rId16" Type="http://schemas.openxmlformats.org/officeDocument/2006/relationships/hyperlink" Target="https://doi.org/10.1007/s11440-026-03261-6" TargetMode="External"/><Relationship Id="rId17" Type="http://schemas.openxmlformats.org/officeDocument/2006/relationships/hyperlink" Target="https://doi.org/10.1016/j.compgeo.2026.1087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