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27 October 2026, 07:15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2026-10-27 (07:09 UTC)</w:t>
            </w:r>
          </w:p>
        </w:tc>
      </w:tr>
      <w:tr>
        <w:tc>
          <w:tcPr>
            <w:tcW w:type="dxa" w:w="4535"/>
            <w:shd w:val="clear" w:color="auto" w:fill="F3F5F7"/>
          </w:tcPr>
          <w:p>
            <w:r/>
            <w:r>
              <w:rPr>
                <w:sz w:val="19"/>
              </w:rPr>
              <w:t>Stories in latest digest</w:t>
            </w:r>
          </w:p>
        </w:tc>
        <w:tc>
          <w:tcPr>
            <w:tcW w:type="dxa" w:w="5102"/>
            <w:shd w:val="clear" w:color="auto" w:fill="F3F5F7"/>
          </w:tcPr>
          <w:p>
            <w:r/>
            <w:r>
              <w:rPr>
                <w:sz w:val="19"/>
              </w:rPr>
              <w:t>42</w:t>
            </w:r>
          </w:p>
        </w:tc>
      </w:tr>
      <w:tr>
        <w:tc>
          <w:tcPr>
            <w:tcW w:type="dxa" w:w="4535"/>
          </w:tcPr>
          <w:p>
            <w:r/>
            <w:r>
              <w:rPr>
                <w:sz w:val="19"/>
              </w:rPr>
              <w:t>New items scanned</w:t>
            </w:r>
          </w:p>
        </w:tc>
        <w:tc>
          <w:tcPr>
            <w:tcW w:type="dxa" w:w="5102"/>
          </w:tcPr>
          <w:p>
            <w:r/>
            <w:r>
              <w:rPr>
                <w:sz w:val="19"/>
              </w:rPr>
              <w:t>801</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192</w:t>
            </w:r>
          </w:p>
        </w:tc>
      </w:tr>
      <w:tr>
        <w:tc>
          <w:tcPr>
            <w:tcW w:type="dxa" w:w="4535"/>
            <w:shd w:val="clear" w:color="auto" w:fill="F3F5F7"/>
          </w:tcPr>
          <w:p>
            <w:r/>
            <w:r>
              <w:rPr>
                <w:sz w:val="19"/>
              </w:rPr>
              <w:t>Daily digests archived</w:t>
            </w:r>
          </w:p>
        </w:tc>
        <w:tc>
          <w:tcPr>
            <w:tcW w:type="dxa" w:w="5102"/>
            <w:shd w:val="clear" w:color="auto" w:fill="F3F5F7"/>
          </w:tcPr>
          <w:p>
            <w:r/>
            <w:r>
              <w:rPr>
                <w:sz w:val="19"/>
              </w:rPr>
              <w:t>4</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180 of 192</w:t>
            </w:r>
          </w:p>
        </w:tc>
      </w:tr>
      <w:tr>
        <w:tc>
          <w:tcPr>
            <w:tcW w:type="dxa" w:w="4535"/>
          </w:tcPr>
          <w:p>
            <w:r/>
            <w:r>
              <w:rPr>
                <w:sz w:val="19"/>
              </w:rPr>
              <w:t>Developing stories (two or more reports)</w:t>
            </w:r>
          </w:p>
        </w:tc>
        <w:tc>
          <w:tcPr>
            <w:tcW w:type="dxa" w:w="5102"/>
          </w:tcPr>
          <w:p>
            <w:r/>
            <w:r>
              <w:rPr>
                <w:sz w:val="19"/>
              </w:rPr>
              <w:t>20</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2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 1-5 in two steps (is it truly geotechnical, and how big is it: local or small, national or regional, international or a landmark project),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table of contents that follows the suggested issue layout,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Suggested issue layout: </w:t>
      </w:r>
      <w:r>
        <w:t>a default table of contents for the magazine (16 sections, from the cover story to upcoming events) in config.yaml, saying which sections the scanner feeds and how many items each takes; the issue pages show it and the editors can rename, reorder, add or remove sections.</w:t>
      </w:r>
    </w:p>
    <w:p>
      <w:pPr>
        <w:pStyle w:val="ListBullet"/>
      </w:pPr>
      <w:r>
        <w:rPr>
          <w:b/>
        </w:rPr>
        <w:t xml:space="preserve">Shared planning sheet: </w:t>
      </w:r>
      <w:r>
        <w:t>the AI assistant's Google connector keeps a Google spreadsheet for the editorial team, updated every morning with the stories of the current and previous quarter and an issue plan built from the layout, without ever changing the team's Status, Assigned to and Editor notes.</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rated 4 and 5,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17 of 19 websites were read successfully; 2 failed (see Source health).</w:t>
      </w:r>
    </w:p>
    <w:p>
      <w:pPr>
        <w:spacing w:after="60"/>
      </w:pPr>
      <w:r>
        <w:rPr>
          <w:b/>
          <w:color w:val="1E7B4F"/>
        </w:rPr>
        <w:t xml:space="preserve">✔ </w:t>
      </w:r>
      <w:r>
        <w:t>Theme balance: 6 themes covered; the largest is Hazards &amp; Resilience with 18 of 42 stories (43%).</w:t>
      </w:r>
    </w:p>
    <w:p>
      <w:pPr>
        <w:spacing w:after="60"/>
      </w:pPr>
      <w:r>
        <w:rPr>
          <w:b/>
          <w:color w:val="5B6573"/>
        </w:rPr>
        <w:t xml:space="preserve">• </w:t>
      </w:r>
      <w:r>
        <w:t>33 different outlets contributed; the most frequent was Tunnels &amp; Tunnelling (4 stories).</w:t>
      </w:r>
    </w:p>
    <w:p>
      <w:pPr>
        <w:spacing w:after="60"/>
      </w:pPr>
      <w:r>
        <w:rPr>
          <w:b/>
          <w:color w:val="5B6573"/>
        </w:rPr>
        <w:t xml:space="preserve">• </w:t>
      </w:r>
      <w:r>
        <w:t>21 stories came from non-English Google News editions.</w:t>
      </w:r>
    </w:p>
    <w:p>
      <w:pPr>
        <w:spacing w:after="60"/>
      </w:pPr>
      <w:r>
        <w:rPr>
          <w:b/>
          <w:color w:val="5B6573"/>
        </w:rPr>
        <w:t xml:space="preserve">• </w:t>
      </w:r>
      <w:r>
        <w:t>30 stories were rated 4 or 5 out of 5.</w:t>
      </w:r>
    </w:p>
    <w:p>
      <w:pPr>
        <w:spacing w:after="60"/>
      </w:pPr>
      <w:r>
        <w:rPr>
          <w:b/>
          <w:color w:val="5B6573"/>
        </w:rPr>
        <w:t xml:space="preserve">• </w:t>
      </w:r>
      <w:r>
        <w:t>41 of the 42 rated stories name a primary source to check the facts with.</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Ground Engineering</w:t>
            </w:r>
          </w:p>
        </w:tc>
        <w:tc>
          <w:tcPr>
            <w:tcW w:type="dxa" w:w="3118"/>
          </w:tcPr>
          <w:p>
            <w:r/>
            <w:r>
              <w:rPr>
                <w:sz w:val="19"/>
              </w:rPr>
              <w:t>403 Client Error: Forbidden for url: https://www.geplus.co.uk/feed/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New Civil Engineer</w:t>
            </w:r>
          </w:p>
        </w:tc>
        <w:tc>
          <w:tcPr>
            <w:tcW w:type="dxa" w:w="3118"/>
            <w:shd w:val="clear" w:color="auto" w:fill="F3F5F7"/>
          </w:tcPr>
          <w:p>
            <w:r/>
            <w:r>
              <w:rPr>
                <w:sz w:val="19"/>
              </w:rPr>
              <w:t>403 Client Error: Forbidden for url: https://www.newcivilengineer.com/feed/</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4</w:t>
            </w:r>
          </w:p>
        </w:tc>
        <w:tc>
          <w:tcPr>
            <w:tcW w:type="dxa" w:w="1134"/>
          </w:tcPr>
          <w:p>
            <w:r/>
            <w:r>
              <w:rPr>
                <w:sz w:val="19"/>
              </w:rPr>
              <w:t>192</w:t>
            </w:r>
          </w:p>
        </w:tc>
        <w:tc>
          <w:tcPr>
            <w:tcW w:type="dxa" w:w="1417"/>
          </w:tcPr>
          <w:p>
            <w:r/>
            <w:r>
              <w:rPr>
                <w:sz w:val="19"/>
              </w:rPr>
              <w:t>21</w:t>
            </w:r>
          </w:p>
        </w:tc>
        <w:tc>
          <w:tcPr>
            <w:tcW w:type="dxa" w:w="1701"/>
          </w:tcPr>
          <w:p>
            <w:r/>
            <w:r>
              <w:rPr>
                <w:sz w:val="19"/>
              </w:rPr>
              <w:t>81</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4</w:t>
            </w:r>
          </w:p>
        </w:tc>
        <w:tc>
          <w:tcPr>
            <w:tcW w:type="dxa" w:w="1417"/>
          </w:tcPr>
          <w:p>
            <w:r/>
            <w:r>
              <w:rPr>
                <w:sz w:val="19"/>
              </w:rPr>
              <w:t>2%</w:t>
            </w:r>
          </w:p>
        </w:tc>
        <w:tc>
          <w:tcPr>
            <w:tcW w:type="dxa" w:w="1701"/>
          </w:tcPr>
          <w:p>
            <w:r/>
            <w:r>
              <w:rPr>
                <w:sz w:val="19"/>
              </w:rPr>
              <w:t>1</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6</w:t>
            </w:r>
          </w:p>
        </w:tc>
        <w:tc>
          <w:tcPr>
            <w:tcW w:type="dxa" w:w="1417"/>
            <w:shd w:val="clear" w:color="auto" w:fill="F3F5F7"/>
          </w:tcPr>
          <w:p>
            <w:r/>
            <w:r>
              <w:rPr>
                <w:sz w:val="19"/>
              </w:rPr>
              <w:t>3%</w:t>
            </w:r>
          </w:p>
        </w:tc>
        <w:tc>
          <w:tcPr>
            <w:tcW w:type="dxa" w:w="1701"/>
            <w:shd w:val="clear" w:color="auto" w:fill="F3F5F7"/>
          </w:tcPr>
          <w:p>
            <w:r/>
            <w:r>
              <w:rPr>
                <w:sz w:val="19"/>
              </w:rPr>
              <w:t>3</w:t>
            </w:r>
          </w:p>
        </w:tc>
      </w:tr>
      <w:tr>
        <w:tc>
          <w:tcPr>
            <w:tcW w:type="dxa" w:w="4535"/>
            <w:shd w:val="clear" w:color="auto" w:fill="FAE5DF"/>
          </w:tcPr>
          <w:p>
            <w:r/>
            <w:r>
              <w:rPr>
                <w:b/>
                <w:color w:val="E04F2C"/>
                <w:sz w:val="19"/>
              </w:rPr>
              <w:t>Hazards &amp; Resilience</w:t>
            </w:r>
          </w:p>
        </w:tc>
        <w:tc>
          <w:tcPr>
            <w:tcW w:type="dxa" w:w="1417"/>
          </w:tcPr>
          <w:p>
            <w:r/>
            <w:r>
              <w:rPr>
                <w:sz w:val="19"/>
              </w:rPr>
              <w:t>71</w:t>
            </w:r>
          </w:p>
        </w:tc>
        <w:tc>
          <w:tcPr>
            <w:tcW w:type="dxa" w:w="1417"/>
          </w:tcPr>
          <w:p>
            <w:r/>
            <w:r>
              <w:rPr>
                <w:sz w:val="19"/>
              </w:rPr>
              <w:t>37%</w:t>
            </w:r>
          </w:p>
        </w:tc>
        <w:tc>
          <w:tcPr>
            <w:tcW w:type="dxa" w:w="1701"/>
          </w:tcPr>
          <w:p>
            <w:r/>
            <w:r>
              <w:rPr>
                <w:sz w:val="19"/>
              </w:rPr>
              <w:t>71</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3</w:t>
            </w:r>
          </w:p>
        </w:tc>
        <w:tc>
          <w:tcPr>
            <w:tcW w:type="dxa" w:w="1417"/>
            <w:shd w:val="clear" w:color="auto" w:fill="F3F5F7"/>
          </w:tcPr>
          <w:p>
            <w:r/>
            <w:r>
              <w:rPr>
                <w:sz w:val="19"/>
              </w:rPr>
              <w:t>2%</w:t>
            </w:r>
          </w:p>
        </w:tc>
        <w:tc>
          <w:tcPr>
            <w:tcW w:type="dxa" w:w="1701"/>
            <w:shd w:val="clear" w:color="auto" w:fill="F3F5F7"/>
          </w:tcPr>
          <w:p>
            <w:r/>
            <w:r>
              <w:rPr>
                <w:sz w:val="19"/>
              </w:rPr>
              <w:t>3</w:t>
            </w:r>
          </w:p>
        </w:tc>
      </w:tr>
      <w:tr>
        <w:tc>
          <w:tcPr>
            <w:tcW w:type="dxa" w:w="4535"/>
            <w:shd w:val="clear" w:color="auto" w:fill="DEE8F9"/>
          </w:tcPr>
          <w:p>
            <w:r/>
            <w:r>
              <w:rPr>
                <w:b/>
                <w:color w:val="2563D6"/>
                <w:sz w:val="19"/>
              </w:rPr>
              <w:t>Infrastructure &amp; the Underground City</w:t>
            </w:r>
          </w:p>
        </w:tc>
        <w:tc>
          <w:tcPr>
            <w:tcW w:type="dxa" w:w="1417"/>
          </w:tcPr>
          <w:p>
            <w:r/>
            <w:r>
              <w:rPr>
                <w:sz w:val="19"/>
              </w:rPr>
              <w:t>68</w:t>
            </w:r>
          </w:p>
        </w:tc>
        <w:tc>
          <w:tcPr>
            <w:tcW w:type="dxa" w:w="1417"/>
          </w:tcPr>
          <w:p>
            <w:r/>
            <w:r>
              <w:rPr>
                <w:sz w:val="19"/>
              </w:rPr>
              <w:t>35%</w:t>
            </w:r>
          </w:p>
        </w:tc>
        <w:tc>
          <w:tcPr>
            <w:tcW w:type="dxa" w:w="1701"/>
          </w:tcPr>
          <w:p>
            <w:r/>
            <w:r>
              <w:rPr>
                <w:sz w:val="19"/>
              </w:rPr>
              <w:t>32</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22</w:t>
            </w:r>
          </w:p>
        </w:tc>
        <w:tc>
          <w:tcPr>
            <w:tcW w:type="dxa" w:w="1417"/>
            <w:shd w:val="clear" w:color="auto" w:fill="F3F5F7"/>
          </w:tcPr>
          <w:p>
            <w:r/>
            <w:r>
              <w:rPr>
                <w:sz w:val="19"/>
              </w:rPr>
              <w:t>11%</w:t>
            </w:r>
          </w:p>
        </w:tc>
        <w:tc>
          <w:tcPr>
            <w:tcW w:type="dxa" w:w="1701"/>
            <w:shd w:val="clear" w:color="auto" w:fill="F3F5F7"/>
          </w:tcPr>
          <w:p>
            <w:r/>
            <w:r>
              <w:rPr>
                <w:sz w:val="19"/>
              </w:rPr>
              <w:t>14</w:t>
            </w:r>
          </w:p>
        </w:tc>
      </w:tr>
      <w:tr>
        <w:tc>
          <w:tcPr>
            <w:tcW w:type="dxa" w:w="4535"/>
            <w:shd w:val="clear" w:color="auto" w:fill="F6E2EB"/>
          </w:tcPr>
          <w:p>
            <w:r/>
            <w:r>
              <w:rPr>
                <w:b/>
                <w:color w:val="C23D7B"/>
                <w:sz w:val="19"/>
              </w:rPr>
              <w:t>Characterisation &amp; Modelling</w:t>
            </w:r>
          </w:p>
        </w:tc>
        <w:tc>
          <w:tcPr>
            <w:tcW w:type="dxa" w:w="1417"/>
          </w:tcPr>
          <w:p>
            <w:r/>
            <w:r>
              <w:rPr>
                <w:sz w:val="19"/>
              </w:rPr>
              <w:t>11</w:t>
            </w:r>
          </w:p>
        </w:tc>
        <w:tc>
          <w:tcPr>
            <w:tcW w:type="dxa" w:w="1417"/>
          </w:tcPr>
          <w:p>
            <w:r/>
            <w:r>
              <w:rPr>
                <w:sz w:val="19"/>
              </w:rPr>
              <w:t>6%</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7</w:t>
            </w:r>
          </w:p>
        </w:tc>
        <w:tc>
          <w:tcPr>
            <w:tcW w:type="dxa" w:w="1417"/>
            <w:shd w:val="clear" w:color="auto" w:fill="F3F5F7"/>
          </w:tcPr>
          <w:p>
            <w:r/>
            <w:r>
              <w:rPr>
                <w:sz w:val="19"/>
              </w:rPr>
              <w:t>4%</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180 of 192 stories are located in a country of one of ISSMGE's six regions; 12 are global or about several countries and 0 have no location yet. 22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1</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83</w:t>
            </w:r>
          </w:p>
        </w:tc>
        <w:tc>
          <w:tcPr>
            <w:tcW w:type="dxa" w:w="1814"/>
            <w:shd w:val="clear" w:color="auto" w:fill="F3F5F7"/>
          </w:tcPr>
          <w:p>
            <w:r/>
            <w:r>
              <w:rPr>
                <w:sz w:val="19"/>
              </w:rPr>
              <w:t>7 of 26</w:t>
            </w:r>
          </w:p>
        </w:tc>
        <w:tc>
          <w:tcPr>
            <w:tcW w:type="dxa" w:w="4989"/>
            <w:shd w:val="clear" w:color="auto" w:fill="F3F5F7"/>
          </w:tcPr>
          <w:p>
            <w:r/>
            <w:r>
              <w:rPr>
                <w:sz w:val="19"/>
              </w:rPr>
              <w:t>Bangladesh,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3</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26</w:t>
            </w:r>
          </w:p>
        </w:tc>
        <w:tc>
          <w:tcPr>
            <w:tcW w:type="dxa" w:w="1814"/>
            <w:shd w:val="clear" w:color="auto" w:fill="F3F5F7"/>
          </w:tcPr>
          <w:p>
            <w:r/>
            <w:r>
              <w:rPr>
                <w:sz w:val="19"/>
              </w:rPr>
              <w:t>6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Serbia, Slovakia, Slovenia, Spain, Sweden, Switzerland</w:t>
            </w:r>
          </w:p>
        </w:tc>
      </w:tr>
      <w:tr>
        <w:tc>
          <w:tcPr>
            <w:tcW w:type="dxa" w:w="1814"/>
          </w:tcPr>
          <w:p>
            <w:r/>
            <w:r>
              <w:rPr>
                <w:sz w:val="19"/>
              </w:rPr>
              <w:t>North America</w:t>
            </w:r>
          </w:p>
        </w:tc>
        <w:tc>
          <w:tcPr>
            <w:tcW w:type="dxa" w:w="1020"/>
          </w:tcPr>
          <w:p>
            <w:r/>
            <w:r>
              <w:rPr>
                <w:sz w:val="19"/>
              </w:rPr>
              <w:t>31</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36</w:t>
            </w:r>
          </w:p>
        </w:tc>
        <w:tc>
          <w:tcPr>
            <w:tcW w:type="dxa" w:w="1814"/>
            <w:shd w:val="clear" w:color="auto" w:fill="F3F5F7"/>
          </w:tcPr>
          <w:p>
            <w:r/>
            <w:r>
              <w:rPr>
                <w:sz w:val="19"/>
              </w:rPr>
              <w:t>5 of 11</w:t>
            </w:r>
          </w:p>
        </w:tc>
        <w:tc>
          <w:tcPr>
            <w:tcW w:type="dxa" w:w="4989"/>
            <w:shd w:val="clear" w:color="auto" w:fill="F3F5F7"/>
          </w:tcPr>
          <w:p>
            <w:r/>
            <w:r>
              <w:rPr>
                <w:sz w:val="19"/>
              </w:rPr>
              <w:t>Bolivia, Costa Rica, Cuba, Guatemala, Paraguay,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20 developing stories link 53 reports; 20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Paya Terubong landslide, Penang, Malaysia (Oct 2026)</w:t>
            </w:r>
          </w:p>
        </w:tc>
        <w:tc>
          <w:tcPr>
            <w:tcW w:type="dxa" w:w="1928"/>
          </w:tcPr>
          <w:p>
            <w:r/>
            <w:r>
              <w:rPr>
                <w:sz w:val="19"/>
              </w:rPr>
              <w:t>Paya Terubong, Penang, Malaysia</w:t>
            </w:r>
          </w:p>
        </w:tc>
        <w:tc>
          <w:tcPr>
            <w:tcW w:type="dxa" w:w="907"/>
          </w:tcPr>
          <w:p>
            <w:r/>
            <w:r>
              <w:rPr>
                <w:sz w:val="19"/>
              </w:rPr>
              <w:t>7</w:t>
            </w:r>
          </w:p>
        </w:tc>
        <w:tc>
          <w:tcPr>
            <w:tcW w:type="dxa" w:w="1191"/>
          </w:tcPr>
          <w:p>
            <w:r/>
            <w:r>
              <w:rPr>
                <w:sz w:val="19"/>
              </w:rPr>
              <w:t>25 Oct 2026</w:t>
            </w:r>
          </w:p>
        </w:tc>
        <w:tc>
          <w:tcPr>
            <w:tcW w:type="dxa" w:w="1191"/>
          </w:tcPr>
          <w:p>
            <w:r/>
            <w:r>
              <w:rPr>
                <w:sz w:val="19"/>
              </w:rPr>
              <w:t>26 Oct 2026</w:t>
            </w:r>
          </w:p>
        </w:tc>
        <w:tc>
          <w:tcPr>
            <w:tcW w:type="dxa" w:w="1361"/>
          </w:tcPr>
          <w:p>
            <w:r/>
            <w:r>
              <w:rPr>
                <w:sz w:val="19"/>
              </w:rPr>
              <w:t>Event</w:t>
            </w:r>
          </w:p>
        </w:tc>
      </w:tr>
      <w:tr>
        <w:tc>
          <w:tcPr>
            <w:tcW w:type="dxa" w:w="3061"/>
            <w:shd w:val="clear" w:color="auto" w:fill="F3F5F7"/>
          </w:tcPr>
          <w:p>
            <w:r/>
            <w:r>
              <w:rPr>
                <w:sz w:val="19"/>
              </w:rPr>
              <w:t>Mazatlán malecón wave sinkhole, Mexico (Oct 2026)</w:t>
            </w:r>
          </w:p>
        </w:tc>
        <w:tc>
          <w:tcPr>
            <w:tcW w:type="dxa" w:w="1928"/>
            <w:shd w:val="clear" w:color="auto" w:fill="F3F5F7"/>
          </w:tcPr>
          <w:p>
            <w:r/>
            <w:r>
              <w:rPr>
                <w:sz w:val="19"/>
              </w:rPr>
              <w:t>Monumento a la Mujer Mazatleca, Mazatlán, Mexico</w:t>
            </w:r>
          </w:p>
        </w:tc>
        <w:tc>
          <w:tcPr>
            <w:tcW w:type="dxa" w:w="907"/>
            <w:shd w:val="clear" w:color="auto" w:fill="F3F5F7"/>
          </w:tcPr>
          <w:p>
            <w:r/>
            <w:r>
              <w:rPr>
                <w:sz w:val="19"/>
              </w:rPr>
              <w:t>4</w:t>
            </w:r>
          </w:p>
        </w:tc>
        <w:tc>
          <w:tcPr>
            <w:tcW w:type="dxa" w:w="1191"/>
            <w:shd w:val="clear" w:color="auto" w:fill="F3F5F7"/>
          </w:tcPr>
          <w:p>
            <w:r/>
            <w:r>
              <w:rPr>
                <w:sz w:val="19"/>
              </w:rPr>
              <w:t>23 Oct 2026</w:t>
            </w:r>
          </w:p>
        </w:tc>
        <w:tc>
          <w:tcPr>
            <w:tcW w:type="dxa" w:w="1191"/>
            <w:shd w:val="clear" w:color="auto" w:fill="F3F5F7"/>
          </w:tcPr>
          <w:p>
            <w:r/>
            <w:r>
              <w:rPr>
                <w:sz w:val="19"/>
              </w:rPr>
              <w:t>26 Oct 2026</w:t>
            </w:r>
          </w:p>
        </w:tc>
        <w:tc>
          <w:tcPr>
            <w:tcW w:type="dxa" w:w="1361"/>
            <w:shd w:val="clear" w:color="auto" w:fill="F3F5F7"/>
          </w:tcPr>
          <w:p>
            <w:r/>
            <w:r>
              <w:rPr>
                <w:sz w:val="19"/>
              </w:rPr>
              <w:t>Investigation &amp; inquiry</w:t>
            </w:r>
          </w:p>
        </w:tc>
      </w:tr>
      <w:tr>
        <w:tc>
          <w:tcPr>
            <w:tcW w:type="dxa" w:w="3061"/>
          </w:tcPr>
          <w:p>
            <w:r/>
            <w:r>
              <w:rPr>
                <w:sz w:val="19"/>
              </w:rPr>
              <w:t>Kumamoto earthquake re-liquefaction study, Japan</w:t>
            </w:r>
          </w:p>
        </w:tc>
        <w:tc>
          <w:tcPr>
            <w:tcW w:type="dxa" w:w="1928"/>
          </w:tcPr>
          <w:p>
            <w:r/>
            <w:r>
              <w:rPr>
                <w:sz w:val="19"/>
              </w:rPr>
              <w:t>Kumamoto Prefecture, Japan</w:t>
            </w:r>
          </w:p>
        </w:tc>
        <w:tc>
          <w:tcPr>
            <w:tcW w:type="dxa" w:w="907"/>
          </w:tcPr>
          <w:p>
            <w:r/>
            <w:r>
              <w:rPr>
                <w:sz w:val="19"/>
              </w:rPr>
              <w:t>4</w:t>
            </w:r>
          </w:p>
        </w:tc>
        <w:tc>
          <w:tcPr>
            <w:tcW w:type="dxa" w:w="1191"/>
          </w:tcPr>
          <w:p>
            <w:r/>
            <w:r>
              <w:rPr>
                <w:sz w:val="19"/>
              </w:rPr>
              <w:t>25 Oct 2026</w:t>
            </w:r>
          </w:p>
        </w:tc>
        <w:tc>
          <w:tcPr>
            <w:tcW w:type="dxa" w:w="1191"/>
          </w:tcPr>
          <w:p>
            <w:r/>
            <w:r>
              <w:rPr>
                <w:sz w:val="19"/>
              </w:rPr>
              <w:t>26 Oct 2026</w:t>
            </w:r>
          </w:p>
        </w:tc>
        <w:tc>
          <w:tcPr>
            <w:tcW w:type="dxa" w:w="1361"/>
          </w:tcPr>
          <w:p>
            <w:r/>
            <w:r>
              <w:rPr>
                <w:sz w:val="19"/>
              </w:rPr>
              <w:t>Investigation &amp; inquiry</w:t>
            </w:r>
          </w:p>
        </w:tc>
      </w:tr>
      <w:tr>
        <w:tc>
          <w:tcPr>
            <w:tcW w:type="dxa" w:w="3061"/>
            <w:shd w:val="clear" w:color="auto" w:fill="F3F5F7"/>
          </w:tcPr>
          <w:p>
            <w:r/>
            <w:r>
              <w:rPr>
                <w:sz w:val="19"/>
              </w:rPr>
              <w:t>Phong Nha-Ke Bang 120 m sinkhole discovery, Vietnam</w:t>
            </w:r>
          </w:p>
        </w:tc>
        <w:tc>
          <w:tcPr>
            <w:tcW w:type="dxa" w:w="1928"/>
            <w:shd w:val="clear" w:color="auto" w:fill="F3F5F7"/>
          </w:tcPr>
          <w:p>
            <w:r/>
            <w:r>
              <w:rPr>
                <w:sz w:val="19"/>
              </w:rPr>
              <w:t>Phong Nha-Ke Bang, Vietnam</w:t>
            </w:r>
          </w:p>
        </w:tc>
        <w:tc>
          <w:tcPr>
            <w:tcW w:type="dxa" w:w="907"/>
            <w:shd w:val="clear" w:color="auto" w:fill="F3F5F7"/>
          </w:tcPr>
          <w:p>
            <w:r/>
            <w:r>
              <w:rPr>
                <w:sz w:val="19"/>
              </w:rPr>
              <w:t>4</w:t>
            </w:r>
          </w:p>
        </w:tc>
        <w:tc>
          <w:tcPr>
            <w:tcW w:type="dxa" w:w="1191"/>
            <w:shd w:val="clear" w:color="auto" w:fill="F3F5F7"/>
          </w:tcPr>
          <w:p>
            <w:r/>
            <w:r>
              <w:rPr>
                <w:sz w:val="19"/>
              </w:rPr>
              <w:t>22 Oct 2026</w:t>
            </w:r>
          </w:p>
        </w:tc>
        <w:tc>
          <w:tcPr>
            <w:tcW w:type="dxa" w:w="1191"/>
            <w:shd w:val="clear" w:color="auto" w:fill="F3F5F7"/>
          </w:tcPr>
          <w:p>
            <w:r/>
            <w:r>
              <w:rPr>
                <w:sz w:val="19"/>
              </w:rPr>
              <w:t>25 Oct 2026</w:t>
            </w:r>
          </w:p>
        </w:tc>
        <w:tc>
          <w:tcPr>
            <w:tcW w:type="dxa" w:w="1361"/>
            <w:shd w:val="clear" w:color="auto" w:fill="F3F5F7"/>
          </w:tcPr>
          <w:p>
            <w:r/>
            <w:r>
              <w:rPr>
                <w:sz w:val="19"/>
              </w:rPr>
              <w:t>Update</w:t>
            </w:r>
          </w:p>
        </w:tc>
      </w:tr>
      <w:tr>
        <w:tc>
          <w:tcPr>
            <w:tcW w:type="dxa" w:w="3061"/>
          </w:tcPr>
          <w:p>
            <w:r/>
            <w:r>
              <w:rPr>
                <w:sz w:val="19"/>
              </w:rPr>
              <w:t>Occidental Cozumel hotel sinkhole, Mexico (Oct 2026)</w:t>
            </w:r>
          </w:p>
        </w:tc>
        <w:tc>
          <w:tcPr>
            <w:tcW w:type="dxa" w:w="1928"/>
          </w:tcPr>
          <w:p>
            <w:r/>
            <w:r>
              <w:rPr>
                <w:sz w:val="19"/>
              </w:rPr>
              <w:t>Cozumel, Quintana Roo, Mexico</w:t>
            </w:r>
          </w:p>
        </w:tc>
        <w:tc>
          <w:tcPr>
            <w:tcW w:type="dxa" w:w="907"/>
          </w:tcPr>
          <w:p>
            <w:r/>
            <w:r>
              <w:rPr>
                <w:sz w:val="19"/>
              </w:rPr>
              <w:t>3</w:t>
            </w:r>
          </w:p>
        </w:tc>
        <w:tc>
          <w:tcPr>
            <w:tcW w:type="dxa" w:w="1191"/>
          </w:tcPr>
          <w:p>
            <w:r/>
            <w:r>
              <w:rPr>
                <w:sz w:val="19"/>
              </w:rPr>
              <w:t>24 Oct 2026</w:t>
            </w:r>
          </w:p>
        </w:tc>
        <w:tc>
          <w:tcPr>
            <w:tcW w:type="dxa" w:w="1191"/>
          </w:tcPr>
          <w:p>
            <w:r/>
            <w:r>
              <w:rPr>
                <w:sz w:val="19"/>
              </w:rPr>
              <w:t>25 Oct 2026</w:t>
            </w:r>
          </w:p>
        </w:tc>
        <w:tc>
          <w:tcPr>
            <w:tcW w:type="dxa" w:w="1361"/>
          </w:tcPr>
          <w:p>
            <w:r/>
            <w:r>
              <w:rPr>
                <w:sz w:val="19"/>
              </w:rPr>
              <w:t>Event</w:t>
            </w:r>
          </w:p>
        </w:tc>
      </w:tr>
      <w:tr>
        <w:tc>
          <w:tcPr>
            <w:tcW w:type="dxa" w:w="3061"/>
            <w:shd w:val="clear" w:color="auto" w:fill="F3F5F7"/>
          </w:tcPr>
          <w:p>
            <w:r/>
            <w:r>
              <w:rPr>
                <w:sz w:val="19"/>
              </w:rPr>
              <w:t>AI landslide early warning, Vietnam</w:t>
            </w:r>
          </w:p>
        </w:tc>
        <w:tc>
          <w:tcPr>
            <w:tcW w:type="dxa" w:w="1928"/>
            <w:shd w:val="clear" w:color="auto" w:fill="F3F5F7"/>
          </w:tcPr>
          <w:p>
            <w:r/>
            <w:r>
              <w:rPr>
                <w:sz w:val="19"/>
              </w:rPr>
              <w:t>Vietnam</w:t>
            </w:r>
          </w:p>
        </w:tc>
        <w:tc>
          <w:tcPr>
            <w:tcW w:type="dxa" w:w="907"/>
            <w:shd w:val="clear" w:color="auto" w:fill="F3F5F7"/>
          </w:tcPr>
          <w:p>
            <w:r/>
            <w:r>
              <w:rPr>
                <w:sz w:val="19"/>
              </w:rPr>
              <w:t>3</w:t>
            </w:r>
          </w:p>
        </w:tc>
        <w:tc>
          <w:tcPr>
            <w:tcW w:type="dxa" w:w="1191"/>
            <w:shd w:val="clear" w:color="auto" w:fill="F3F5F7"/>
          </w:tcPr>
          <w:p>
            <w:r/>
            <w:r>
              <w:rPr>
                <w:sz w:val="19"/>
              </w:rPr>
              <w:t>24 Oct 2026</w:t>
            </w:r>
          </w:p>
        </w:tc>
        <w:tc>
          <w:tcPr>
            <w:tcW w:type="dxa" w:w="1191"/>
            <w:shd w:val="clear" w:color="auto" w:fill="F3F5F7"/>
          </w:tcPr>
          <w:p>
            <w:r/>
            <w:r>
              <w:rPr>
                <w:sz w:val="19"/>
              </w:rPr>
              <w:t>24 Oct 2026</w:t>
            </w:r>
          </w:p>
        </w:tc>
        <w:tc>
          <w:tcPr>
            <w:tcW w:type="dxa" w:w="1361"/>
            <w:shd w:val="clear" w:color="auto" w:fill="F3F5F7"/>
          </w:tcPr>
          <w:p>
            <w:r/>
            <w:r>
              <w:rPr>
                <w:sz w:val="19"/>
              </w:rPr>
              <w:t>Update</w:t>
            </w:r>
          </w:p>
        </w:tc>
      </w:tr>
      <w:tr>
        <w:tc>
          <w:tcPr>
            <w:tcW w:type="dxa" w:w="3061"/>
          </w:tcPr>
          <w:p>
            <w:r/>
            <w:r>
              <w:rPr>
                <w:sz w:val="19"/>
              </w:rPr>
              <w:t>Silkyara tunnel, Uttarkashi, India</w:t>
            </w:r>
          </w:p>
        </w:tc>
        <w:tc>
          <w:tcPr>
            <w:tcW w:type="dxa" w:w="1928"/>
          </w:tcPr>
          <w:p>
            <w:r/>
            <w:r>
              <w:rPr>
                <w:sz w:val="19"/>
              </w:rPr>
              <w:t>Silkyara tunnel, Uttarkashi, India</w:t>
            </w:r>
          </w:p>
        </w:tc>
        <w:tc>
          <w:tcPr>
            <w:tcW w:type="dxa" w:w="907"/>
          </w:tcPr>
          <w:p>
            <w:r/>
            <w:r>
              <w:rPr>
                <w:sz w:val="19"/>
              </w:rPr>
              <w:t>2</w:t>
            </w:r>
          </w:p>
        </w:tc>
        <w:tc>
          <w:tcPr>
            <w:tcW w:type="dxa" w:w="1191"/>
          </w:tcPr>
          <w:p>
            <w:r/>
            <w:r>
              <w:rPr>
                <w:sz w:val="19"/>
              </w:rPr>
              <w:t>25 Oct 2026</w:t>
            </w:r>
          </w:p>
        </w:tc>
        <w:tc>
          <w:tcPr>
            <w:tcW w:type="dxa" w:w="1191"/>
          </w:tcPr>
          <w:p>
            <w:r/>
            <w:r>
              <w:rPr>
                <w:sz w:val="19"/>
              </w:rPr>
              <w:t>26 Oct 2026</w:t>
            </w:r>
          </w:p>
        </w:tc>
        <w:tc>
          <w:tcPr>
            <w:tcW w:type="dxa" w:w="1361"/>
          </w:tcPr>
          <w:p>
            <w:r/>
            <w:r>
              <w:rPr>
                <w:sz w:val="19"/>
              </w:rPr>
              <w:t>Update</w:t>
            </w:r>
          </w:p>
        </w:tc>
      </w:tr>
      <w:tr>
        <w:tc>
          <w:tcPr>
            <w:tcW w:type="dxa" w:w="3061"/>
            <w:shd w:val="clear" w:color="auto" w:fill="F3F5F7"/>
          </w:tcPr>
          <w:p>
            <w:r/>
            <w:r>
              <w:rPr>
                <w:sz w:val="19"/>
              </w:rPr>
              <w:t>Zero cycle: how Setl Group creates 3D excavation models for residenti… (Oct 2026)</w:t>
            </w:r>
          </w:p>
        </w:tc>
        <w:tc>
          <w:tcPr>
            <w:tcW w:type="dxa" w:w="1928"/>
            <w:shd w:val="clear" w:color="auto" w:fill="F3F5F7"/>
          </w:tcPr>
          <w:p>
            <w:r/>
            <w:r>
              <w:rPr>
                <w:sz w:val="19"/>
              </w:rPr>
              <w:t>Russia</w:t>
            </w:r>
          </w:p>
        </w:tc>
        <w:tc>
          <w:tcPr>
            <w:tcW w:type="dxa" w:w="907"/>
            <w:shd w:val="clear" w:color="auto" w:fill="F3F5F7"/>
          </w:tcPr>
          <w:p>
            <w:r/>
            <w:r>
              <w:rPr>
                <w:sz w:val="19"/>
              </w:rPr>
              <w:t>2</w:t>
            </w:r>
          </w:p>
        </w:tc>
        <w:tc>
          <w:tcPr>
            <w:tcW w:type="dxa" w:w="1191"/>
            <w:shd w:val="clear" w:color="auto" w:fill="F3F5F7"/>
          </w:tcPr>
          <w:p>
            <w:r/>
            <w:r>
              <w:rPr>
                <w:sz w:val="19"/>
              </w:rPr>
              <w:t>25 Oct 2026</w:t>
            </w:r>
          </w:p>
        </w:tc>
        <w:tc>
          <w:tcPr>
            <w:tcW w:type="dxa" w:w="1191"/>
            <w:shd w:val="clear" w:color="auto" w:fill="F3F5F7"/>
          </w:tcPr>
          <w:p>
            <w:r/>
            <w:r>
              <w:rPr>
                <w:sz w:val="19"/>
              </w:rPr>
              <w:t>26 Oct 2026</w:t>
            </w:r>
          </w:p>
        </w:tc>
        <w:tc>
          <w:tcPr>
            <w:tcW w:type="dxa" w:w="1361"/>
            <w:shd w:val="clear" w:color="auto" w:fill="F3F5F7"/>
          </w:tcPr>
          <w:p>
            <w:r/>
            <w:r>
              <w:rPr>
                <w:sz w:val="19"/>
              </w:rPr>
              <w:t>Update</w:t>
            </w:r>
          </w:p>
        </w:tc>
      </w:tr>
      <w:tr>
        <w:tc>
          <w:tcPr>
            <w:tcW w:type="dxa" w:w="3061"/>
          </w:tcPr>
          <w:p>
            <w:r/>
            <w:r>
              <w:rPr>
                <w:sz w:val="19"/>
              </w:rPr>
              <w:t>Niscemi landslide, Sicily (Jan 2026)</w:t>
            </w:r>
          </w:p>
        </w:tc>
        <w:tc>
          <w:tcPr>
            <w:tcW w:type="dxa" w:w="1928"/>
          </w:tcPr>
          <w:p>
            <w:r/>
            <w:r>
              <w:rPr>
                <w:sz w:val="19"/>
              </w:rPr>
              <w:t>Niscemi, Sicily, Italy</w:t>
            </w:r>
          </w:p>
        </w:tc>
        <w:tc>
          <w:tcPr>
            <w:tcW w:type="dxa" w:w="907"/>
          </w:tcPr>
          <w:p>
            <w:r/>
            <w:r>
              <w:rPr>
                <w:sz w:val="19"/>
              </w:rPr>
              <w:t>2</w:t>
            </w:r>
          </w:p>
        </w:tc>
        <w:tc>
          <w:tcPr>
            <w:tcW w:type="dxa" w:w="1191"/>
          </w:tcPr>
          <w:p>
            <w:r/>
            <w:r>
              <w:rPr>
                <w:sz w:val="19"/>
              </w:rPr>
              <w:t>23 Oct 2026</w:t>
            </w:r>
          </w:p>
        </w:tc>
        <w:tc>
          <w:tcPr>
            <w:tcW w:type="dxa" w:w="1191"/>
          </w:tcPr>
          <w:p>
            <w:r/>
            <w:r>
              <w:rPr>
                <w:sz w:val="19"/>
              </w:rPr>
              <w:t>26 Oct 2026</w:t>
            </w:r>
          </w:p>
        </w:tc>
        <w:tc>
          <w:tcPr>
            <w:tcW w:type="dxa" w:w="1361"/>
          </w:tcPr>
          <w:p>
            <w:r/>
            <w:r>
              <w:rPr>
                <w:sz w:val="19"/>
              </w:rPr>
              <w:t>Update</w:t>
            </w:r>
          </w:p>
        </w:tc>
      </w:tr>
      <w:tr>
        <w:tc>
          <w:tcPr>
            <w:tcW w:type="dxa" w:w="3061"/>
            <w:shd w:val="clear" w:color="auto" w:fill="F3F5F7"/>
          </w:tcPr>
          <w:p>
            <w:r/>
            <w:r>
              <w:rPr>
                <w:sz w:val="19"/>
              </w:rPr>
              <w:t>Provincial Road 160 Chay River landslides, Vietnam (Oct 2026)</w:t>
            </w:r>
          </w:p>
        </w:tc>
        <w:tc>
          <w:tcPr>
            <w:tcW w:type="dxa" w:w="1928"/>
            <w:shd w:val="clear" w:color="auto" w:fill="F3F5F7"/>
          </w:tcPr>
          <w:p>
            <w:r/>
            <w:r>
              <w:rPr>
                <w:sz w:val="19"/>
              </w:rPr>
              <w:t>Provincial Road 160, Chay River, Vietnam</w:t>
            </w:r>
          </w:p>
        </w:tc>
        <w:tc>
          <w:tcPr>
            <w:tcW w:type="dxa" w:w="907"/>
            <w:shd w:val="clear" w:color="auto" w:fill="F3F5F7"/>
          </w:tcPr>
          <w:p>
            <w:r/>
            <w:r>
              <w:rPr>
                <w:sz w:val="19"/>
              </w:rPr>
              <w:t>2</w:t>
            </w:r>
          </w:p>
        </w:tc>
        <w:tc>
          <w:tcPr>
            <w:tcW w:type="dxa" w:w="1191"/>
            <w:shd w:val="clear" w:color="auto" w:fill="F3F5F7"/>
          </w:tcPr>
          <w:p>
            <w:r/>
            <w:r>
              <w:rPr>
                <w:sz w:val="19"/>
              </w:rPr>
              <w:t>25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bl>
    <w:p/>
    <w:p>
      <w:pPr>
        <w:pStyle w:val="Heading1"/>
      </w:pPr>
      <w:r>
        <w:rPr>
          <w:color w:val="16324F"/>
        </w:rPr>
        <w:t>8. Research papers (Q4 2026)</w:t>
      </w:r>
    </w:p>
    <w:p>
      <w:r>
        <w:t>50 new papers from 16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Soil Dynamics and Earthquake Engineering</w:t>
            </w:r>
          </w:p>
        </w:tc>
        <w:tc>
          <w:tcPr>
            <w:tcW w:type="dxa" w:w="1701"/>
          </w:tcPr>
          <w:p>
            <w:r/>
            <w:r>
              <w:rPr>
                <w:sz w:val="19"/>
              </w:rPr>
              <w:t>7</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6</w:t>
            </w:r>
          </w:p>
        </w:tc>
      </w:tr>
      <w:tr>
        <w:tc>
          <w:tcPr>
            <w:tcW w:type="dxa" w:w="6803"/>
          </w:tcPr>
          <w:p>
            <w:r/>
            <w:r>
              <w:rPr>
                <w:sz w:val="19"/>
              </w:rPr>
              <w:t>Journal of Geotechnical and Geoenvironmental Engineering</w:t>
            </w:r>
          </w:p>
        </w:tc>
        <w:tc>
          <w:tcPr>
            <w:tcW w:type="dxa" w:w="1701"/>
          </w:tcPr>
          <w:p>
            <w:r/>
            <w:r>
              <w:rPr>
                <w:sz w:val="19"/>
              </w:rPr>
              <w:t>6</w:t>
            </w:r>
          </w:p>
        </w:tc>
      </w:tr>
      <w:tr>
        <w:tc>
          <w:tcPr>
            <w:tcW w:type="dxa" w:w="6803"/>
            <w:shd w:val="clear" w:color="auto" w:fill="F3F5F7"/>
          </w:tcPr>
          <w:p>
            <w:r/>
            <w:r>
              <w:rPr>
                <w:sz w:val="19"/>
              </w:rPr>
              <w:t>Bulletin of Engineering Geology and the Environment</w:t>
            </w:r>
          </w:p>
        </w:tc>
        <w:tc>
          <w:tcPr>
            <w:tcW w:type="dxa" w:w="1701"/>
            <w:shd w:val="clear" w:color="auto" w:fill="F3F5F7"/>
          </w:tcPr>
          <w:p>
            <w:r/>
            <w:r>
              <w:rPr>
                <w:sz w:val="19"/>
              </w:rPr>
              <w:t>5</w:t>
            </w:r>
          </w:p>
        </w:tc>
      </w:tr>
      <w:tr>
        <w:tc>
          <w:tcPr>
            <w:tcW w:type="dxa" w:w="6803"/>
          </w:tcPr>
          <w:p>
            <w:r/>
            <w:r>
              <w:rPr>
                <w:sz w:val="19"/>
              </w:rPr>
              <w:t>Rock Mechanics and Rock Engineering</w:t>
            </w:r>
          </w:p>
        </w:tc>
        <w:tc>
          <w:tcPr>
            <w:tcW w:type="dxa" w:w="1701"/>
          </w:tcPr>
          <w:p>
            <w:r/>
            <w:r>
              <w:rPr>
                <w:sz w:val="19"/>
              </w:rPr>
              <w:t>4</w:t>
            </w:r>
          </w:p>
        </w:tc>
      </w:tr>
      <w:tr>
        <w:tc>
          <w:tcPr>
            <w:tcW w:type="dxa" w:w="6803"/>
            <w:shd w:val="clear" w:color="auto" w:fill="F3F5F7"/>
          </w:tcPr>
          <w:p>
            <w:r/>
            <w:r>
              <w:rPr>
                <w:sz w:val="19"/>
              </w:rPr>
              <w:t>Acta Geotechnica</w:t>
            </w:r>
          </w:p>
        </w:tc>
        <w:tc>
          <w:tcPr>
            <w:tcW w:type="dxa" w:w="1701"/>
            <w:shd w:val="clear" w:color="auto" w:fill="F3F5F7"/>
          </w:tcPr>
          <w:p>
            <w:r/>
            <w:r>
              <w:rPr>
                <w:sz w:val="19"/>
              </w:rPr>
              <w:t>4</w:t>
            </w:r>
          </w:p>
        </w:tc>
      </w:tr>
      <w:tr>
        <w:tc>
          <w:tcPr>
            <w:tcW w:type="dxa" w:w="6803"/>
          </w:tcPr>
          <w:p>
            <w:r/>
            <w:r>
              <w:rPr>
                <w:sz w:val="19"/>
              </w:rPr>
              <w:t>Computers and Geotechnics</w:t>
            </w:r>
          </w:p>
        </w:tc>
        <w:tc>
          <w:tcPr>
            <w:tcW w:type="dxa" w:w="1701"/>
          </w:tcPr>
          <w:p>
            <w:r/>
            <w:r>
              <w:rPr>
                <w:sz w:val="19"/>
              </w:rPr>
              <w:t>4</w:t>
            </w:r>
          </w:p>
        </w:tc>
      </w:tr>
      <w:tr>
        <w:tc>
          <w:tcPr>
            <w:tcW w:type="dxa" w:w="6803"/>
            <w:shd w:val="clear" w:color="auto" w:fill="F3F5F7"/>
          </w:tcPr>
          <w:p>
            <w:r/>
            <w:r>
              <w:rPr>
                <w:sz w:val="19"/>
              </w:rPr>
              <w:t>Soils and Foundations</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Transportation Geotechnics</w:t>
            </w:r>
          </w:p>
        </w:tc>
        <w:tc>
          <w:tcPr>
            <w:tcW w:type="dxa" w:w="1701"/>
            <w:shd w:val="clear" w:color="auto" w:fill="F3F5F7"/>
          </w:tcPr>
          <w:p>
            <w:r/>
            <w:r>
              <w:rPr>
                <w:sz w:val="19"/>
              </w:rPr>
              <w:t>2</w:t>
            </w:r>
          </w:p>
        </w:tc>
      </w:tr>
      <w:tr>
        <w:tc>
          <w:tcPr>
            <w:tcW w:type="dxa" w:w="6803"/>
          </w:tcPr>
          <w:p>
            <w:r/>
            <w:r>
              <w:rPr>
                <w:sz w:val="19"/>
              </w:rPr>
              <w:t>Geomechanics for Energy and the Environment</w:t>
            </w:r>
          </w:p>
        </w:tc>
        <w:tc>
          <w:tcPr>
            <w:tcW w:type="dxa" w:w="1701"/>
          </w:tcPr>
          <w:p>
            <w:r/>
            <w:r>
              <w:rPr>
                <w:sz w:val="19"/>
              </w:rPr>
              <w:t>1</w:t>
            </w:r>
          </w:p>
        </w:tc>
      </w:tr>
      <w:tr>
        <w:tc>
          <w:tcPr>
            <w:tcW w:type="dxa" w:w="6803"/>
            <w:shd w:val="clear" w:color="auto" w:fill="F3F5F7"/>
          </w:tcPr>
          <w:p>
            <w:r/>
            <w:r>
              <w:rPr>
                <w:sz w:val="19"/>
              </w:rPr>
              <w:t>Géotechnique</w:t>
            </w:r>
          </w:p>
        </w:tc>
        <w:tc>
          <w:tcPr>
            <w:tcW w:type="dxa" w:w="1701"/>
            <w:shd w:val="clear" w:color="auto" w:fill="F3F5F7"/>
          </w:tcPr>
          <w:p>
            <w:r/>
            <w:r>
              <w:rPr>
                <w:sz w:val="19"/>
              </w:rPr>
              <w:t>1</w:t>
            </w:r>
          </w:p>
        </w:tc>
      </w:tr>
      <w:tr>
        <w:tc>
          <w:tcPr>
            <w:tcW w:type="dxa" w:w="6803"/>
          </w:tcPr>
          <w:p>
            <w:r/>
            <w:r>
              <w:rPr>
                <w:sz w:val="19"/>
              </w:rPr>
              <w:t>Landslides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hyperlink r:id="rId10">
        <w:r>
          <w:rPr>
            <w:b/>
            <w:color w:val="1D5A8A"/>
            <w:u w:val="single"/>
          </w:rPr>
          <w:t>Critical review and innovations in excavation practices for soft soil conditions</w:t>
        </w:r>
      </w:hyperlink>
      <w:r>
        <w:t xml:space="preserve"> — Soils and Foundations, 2026-10-26. Reviews excavation methods in soft soils and proposes innovations, giving contractors and designers practical guidance for deep cuts in difficult ground.</w:t>
      </w:r>
    </w:p>
    <w:p>
      <w:pPr>
        <w:pStyle w:val="ListBullet"/>
      </w:pPr>
      <w:hyperlink r:id="rId11">
        <w:r>
          <w:rPr>
            <w:b/>
            <w:color w:val="1D5A8A"/>
            <w:u w:val="single"/>
          </w:rPr>
          <w:t>A framework for evaluating soil liquefaction and weakening of dam foundation during earthquakes</w:t>
        </w:r>
      </w:hyperlink>
      <w:r>
        <w:t xml:space="preserve"> — Soil Dynamics and Earthquake Engineering, 2026-10-26. Offers a framework for judging liquefaction and strength loss in dam foundations during earthquakes, directly useful for seismic safety assessments of existing dams.</w:t>
      </w:r>
    </w:p>
    <w:p>
      <w:pPr>
        <w:pStyle w:val="ListBullet"/>
      </w:pPr>
      <w:hyperlink r:id="rId12">
        <w:r>
          <w:rPr>
            <w:b/>
            <w:color w:val="1D5A8A"/>
            <w:u w:val="single"/>
          </w:rPr>
          <w:t>Shear characteristics and torque prediction of foam-conditioned sand in EPB shield tunneling: Experimental-machine learning approach</w:t>
        </w:r>
      </w:hyperlink>
      <w:r>
        <w:t xml:space="preserve"> — Tunnelling and Underground Space Technology, 2026-10-26. Links foam-conditioned sand testing with machine learning torque prediction, helping tunnel teams anticipate cutterhead loads in EPB drives.</w:t>
      </w:r>
    </w:p>
    <w:p>
      <w:pPr>
        <w:pStyle w:val="ListBullet"/>
      </w:pPr>
      <w:hyperlink r:id="rId13">
        <w:r>
          <w:rPr>
            <w:b/>
            <w:color w:val="1D5A8A"/>
            <w:u w:val="single"/>
          </w:rPr>
          <w:t>Mechanical response of a shield tunnel to normal fault displacement considering longitudinal bolt–segment interaction</w:t>
        </w:r>
      </w:hyperlink>
      <w:r>
        <w:t xml:space="preserve"> — Tunnelling and Underground Space Technology, 2026-10-27. Shows how shield tunnels respond to fault offset when longitudinal bolts interact with segments, useful for designing tunnels crossing active faults.</w:t>
      </w:r>
    </w:p>
    <w:p>
      <w:pPr>
        <w:pStyle w:val="ListBullet"/>
      </w:pPr>
      <w:hyperlink r:id="rId14">
        <w:r>
          <w:rPr>
            <w:b/>
            <w:color w:val="1D5A8A"/>
            <w:u w:val="single"/>
          </w:rPr>
          <w:t>Failure mechanisms and damage evolution of cross-fault tunnels under combined sliding and nonlinearly distributed fault displacement</w:t>
        </w:r>
      </w:hyperlink>
      <w:r>
        <w:t xml:space="preserve"> — Tunnelling and Underground Space Technology, 2026-10-26. Explains how tunnels crossing faults fail under combined sliding and uneven displacement, supporting practical damage assessment and fault-crossing design.</w:t>
      </w:r>
    </w:p>
    <w:p>
      <w:pPr>
        <w:pStyle w:val="ListBullet"/>
      </w:pPr>
      <w:hyperlink r:id="rId15">
        <w:r>
          <w:rPr>
            <w:b/>
            <w:color w:val="1D5A8A"/>
            <w:u w:val="single"/>
          </w:rPr>
          <w:t>Damage characteristics of tunnels under different temporal sequences of reverse fault dislocation and intense seismic excitation</w:t>
        </w:r>
      </w:hyperlink>
      <w:r>
        <w:t xml:space="preserve"> — Soil Dynamics and Earthquake Engineering, 2026-10-26. Shows that the timing of fault movement relative to strong shaking changes tunnel damage, important for seismic risk assessment of tunnels.</w:t>
      </w:r>
    </w:p>
    <w:p>
      <w:pPr>
        <w:pStyle w:val="ListBullet"/>
      </w:pPr>
      <w:hyperlink r:id="rId16">
        <w:r>
          <w:rPr>
            <w:b/>
            <w:color w:val="1D5A8A"/>
            <w:u w:val="single"/>
          </w:rPr>
          <w:t>Design implications of composite tunnel linings with varying stiffness and thickness in saturated sand: Insights from large-scale 1g shaking table tests</w:t>
        </w:r>
      </w:hyperlink>
      <w:r>
        <w:t xml:space="preserve"> — Soil Dynamics and Earthquake Engineering, 2026-10-26. Provides shaking-table evidence on how lining stiffness and thickness affect tunnels in saturated sand, informing seismic lining design choices.</w:t>
      </w:r>
    </w:p>
    <w:p>
      <w:pPr>
        <w:pStyle w:val="ListBullet"/>
      </w:pPr>
      <w:hyperlink r:id="rId17">
        <w:r>
          <w:rPr>
            <w:b/>
            <w:color w:val="1D5A8A"/>
            <w:u w:val="single"/>
          </w:rPr>
          <w:t>Effects of sequential hydration on water retention and shrinkage of cement-stabilized unsaturated soil</w:t>
        </w:r>
      </w:hyperlink>
      <w:r>
        <w:t xml:space="preserve"> — Soils and Foundations, 2026-10-26. Shows how wetting sequence alters water retention and shrinkage in cement-stabilised soils, relevant to specifying and quality-controlling stabilised fills.</w:t>
      </w:r>
    </w:p>
    <w:p>
      <w:pPr>
        <w:pStyle w:val="Heading1"/>
      </w:pPr>
      <w:r>
        <w:rPr>
          <w:color w:val="16324F"/>
        </w:rPr>
        <w:t>9. Issue briefs and planning</w:t>
      </w:r>
    </w:p>
    <w:p>
      <w:r>
        <w:t>Claude drafts a brief for each issue window: a proposed table of contents that follows the suggested issue layout (in briefs written since 26 October 2026),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r>
        <w:t>Suggested issue layout (config.yaml, issue_layout): 16 sections, 7 of them fed by the scanner (Cover story: 1; Geotechnics in the News: 10; Lessons from the Field: 1; From Research to Practice: 2; Global News from Member Societies + Regional Insight: 6; Education &amp; Innovation: 2; Upcoming Events &amp; Calls for Papers: 8 items). The issue pages show it, the brief's table of contents follows it and the shared planning sheet builds its issue plan tabs from it.</w:t>
      </w:r>
    </w:p>
    <w:p>
      <w:r>
        <w:t>Shared planning sheet (Google Sheets): not linked yet. Run setupPlanningSheet once in the AI assistant's Apps Script project, then paste the address it logs into config.yaml under planning, sheet_url (README, Shared planning sheet).</w:t>
      </w:r>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45</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2026-10-26 · Ratings by size</w:t>
      </w:r>
    </w:p>
    <w:p>
      <w:pPr>
        <w:pStyle w:val="ListBullet"/>
      </w:pPr>
      <w:r>
        <w:t>Claude now rates each story 1-5 in two steps. First: is it truly geotechnical, with a clear ground-engineering element? If not, it gets 1 (not geotechnical) or 2 (the ground is mentioned only in passing) and is dropped, however big the news. Then, only for a geotechnical story, its size and importance: 3 = local or small, 4 = national or regional importance, 5 = international importance or a landmark project, judged by the consequences and lessons for ground engineering, not by how much media attention the story gets. Stories rated 3 or more are kept, as before. The rule applies from the scan of 27 October 2026: ratings in the digests up to and including 26 October 2026 measured geotechnical substance alone, without size, and the closed section on those days' pages says so.</w:t>
      </w:r>
    </w:p>
    <w:p>
      <w:pPr>
        <w:pStyle w:val="ListBullet"/>
      </w:pPr>
      <w:r>
        <w:t>The daily page (Latest and each day's digest page) and the weekly summary (its page and its e-mail) list the stories rated 4 and 5. The stories rated 3 are not deleted: on the day's page they are in a closed section at the end, Smaller local stories (rated 3), with their number, and the weekly summary says how many there were and that they are in the archive. Everywhere else they stay as before: the archive, Search, the world map, the issue pages, the CSV, Excel and JSON downloads, developing stories and the issue brief. Stories without a Claude rating (ranked by keywords) are shown as before. Alerts still go out for 5/5 stories, which now means international importance or a landmark project.</w:t>
      </w:r>
    </w:p>
    <w:p>
      <w:pPr>
        <w:spacing w:before="160"/>
      </w:pPr>
      <w:r>
        <w:rPr>
          <w:b/>
          <w:color w:val="23466B"/>
        </w:rPr>
        <w:t>2026-10-26 · Searches for Africa and Australasia</w:t>
      </w:r>
    </w:p>
    <w:p>
      <w:pPr>
        <w:pStyle w:val="ListBullet"/>
      </w:pPr>
      <w:r>
        <w:t>Five new Google News searches - of the 150 stories in the 24 to 26 October digests, Claude located none in Africa and two in Australasia: the English editions for South Africa and Australia return mostly the same worldwide stories as the other editions. The new searches name the countries: Nigeria (building collapses, gully erosion, dam collapses, soil tests); Kenya, Uganda, Tanzania, Rwanda and Ethiopia (landslides, sinkholes, building collapses, dam bursts, gully erosion); Ghana (mining-pit and building collapses, coastal erosion, the Akosombo dam, sinkholes); Morocco, Algeria, Tunisia and Libya, in Arabic (landslides, dam, building and house collapses, geotechnical studies); and New Zealand (landslides, liquefaction, retaining walls, sinkholes, tunnel boring machines). They were tried from GitHub with the Check feeds workflow (the Nigeria and Ghana searches term by term) before being added. Searches for French-speaking Africa, South Africa, southern Africa, the Pacific islands and Australia found almost nothing relevant in three days and were left out.</w:t>
      </w:r>
    </w:p>
    <w:p>
      <w:pPr>
        <w:pStyle w:val="ListBullet"/>
      </w:pPr>
      <w:r>
        <w:t>Their stories get 4 extra points (boost) when a keyword matches: on its own a building collapse scores 1 and erosion 2, too little to pass the keyword filter or to reach Claude ahead of the many one-keyword stories (4 points) from elsewhere. Claude now reads up to 145 headlines a day instead of 130 (max_candidates), so the new stories do not push others out, for well under one US cent a day more; an excluded headline (an election won by a landslide) gets no extra points; and Claude's rating decides, as for every story, what goes into the digest. The Google News editions of Nigeria, Kenya, Ghana, Morocco and New Zealand are shown by name.</w:t>
      </w:r>
    </w:p>
    <w:p>
      <w:pPr>
        <w:spacing w:before="160"/>
      </w:pPr>
      <w:r>
        <w:rPr>
          <w:b/>
          <w:color w:val="23466B"/>
        </w:rPr>
        <w:t>2026-10-26 · An English translation for every foreign headline</w:t>
      </w:r>
    </w:p>
    <w:p>
      <w:pPr>
        <w:pStyle w:val="ListBullet"/>
      </w:pPr>
      <w:r>
        <w:t>Missing translations - in the 26 October digest, 24 of the 39 headlines in other languages (most of them Spanish and Portuguese) had no English translation, against a handful on earlier days. Since 25 October the triage prompt had said that the outlets' headlines are not to be reused, which Claude most likely took to include translating them. The prompt now asks for the translation of every headline that is not in English, and says it is shown labelled as Claude's translation beside the original. A report that stands in for another website's story (when a website has more than five) also no longer takes over that story's translation, which was of another outlet's headline; it is given its own.</w:t>
      </w:r>
    </w:p>
    <w:p>
      <w:pPr>
        <w:pStyle w:val="ListBullet"/>
      </w:pPr>
      <w:r>
        <w:t>Safety net - at the end of each scan, any headline still without an English translation, from that scan or from the digests of the last 45 days, is translated in one small extra request (a headline Claude finds to be in English is marked and not sent again, unless it looks foreign). The 24, 25 and 26 October digests are filled in by the next scan, or at once by a new task: the Events calendar and weekly summary workflow has a new task, translate missing headlines, that does the same at any time. The translations carry the usual label, English headline translated by Claude, with the original headline beside them.</w:t>
      </w:r>
    </w:p>
    <w:p>
      <w:pPr>
        <w:spacing w:before="160"/>
      </w:pPr>
      <w:r>
        <w:rPr>
          <w:b/>
          <w:color w:val="23466B"/>
        </w:rPr>
        <w:t>2026-10-26 · Suggested issue layout, a table of contents in the brief and a shared planning sheet</w:t>
      </w:r>
    </w:p>
    <w:p>
      <w:pPr>
        <w:pStyle w:val="ListBullet"/>
      </w:pPr>
      <w:r>
        <w:t>Suggested issue layout - the editor asked for a table of contents. The default layout in config.yaml (issue_layout) follows the magazine's sections since its relaunch in March 2024 and adds four fed by the news desk - 1 Cover story (scanner, 1 story, 4-6 pages), 2 Welcome from the President, 3 Message from the Editor, 4 From the Board / Vice-Presidents' reports, 5 ISSMGE Highlights, 6 Geotechnics in the News (scanner, 10 short items), 7 Lessons from the Field (scanner, 1 developing story), 8 From Research to Practice (scanner, 2 papers), 9 Global News from Member Societies + Regional Insight (society and scanner, one story per ISSMGE region), 10 Technical Committees Activities, 11 Young Members' Arena, 12 Education &amp; Innovation (society and scanner), 13 Corporate Associates Corner, 14 Heritage / Time Capsule, 15 In Memory and 16 Upcoming Events &amp; Calls for Papers (scanner, from the events calendar). Each section says who fills it, how many items the scanner proposes, its usual length and what goes there. Editors can rename, reorder, add or remove sections; a section that cannot be read is repaired or left out with a note, so a typo never stops a scan.</w:t>
      </w:r>
    </w:p>
    <w:p>
      <w:pPr>
        <w:pStyle w:val="ListBullet"/>
      </w:pPr>
      <w:r>
        <w:t>Issue pages - a Suggested table of contents panel shows the layout and which sections the scanner feeds; once config.yaml has planning, sheet_url, a Shared planning sheet (Google Sheets) button opens the team's sheet.</w:t>
      </w:r>
    </w:p>
    <w:p>
      <w:pPr>
        <w:pStyle w:val="ListBullet"/>
      </w:pPr>
      <w:r>
        <w:t>Issue brief - Claude now plans the issue to the layout. The brief opens with a Proposed table of contents: for every section the scanner fills, exactly its number of stories, papers, events or developing stories, each with a one-line reason and whom to check it with; for the sections from ISSMGE or the editor, a short checklist of what to collect, with pointers from the quarter's data (TC symposia and ISSMGE events, member-society countries with no stories, Digital Geotechnics stories). Claude also now reads where each story happened, with its ISSMGE region. Earlier briefs are unchanged. If Claude Opus declines a brief, the API now hands it to Anthropic's recommended fallback model, and the brief says so.</w:t>
      </w:r>
    </w:p>
    <w:p>
      <w:pPr>
        <w:pStyle w:val="ListBullet"/>
      </w:pPr>
      <w:r>
        <w:t>Shared planning sheet - the AI assistant's Google connector (assistant/bridge.gs) can keep a Google spreadsheet for the editorial team. Run setupPlanningSheet once in the Apps Script project; every morning at about 07:00 Cairo time it adds the new stories and papers of the current and previous quarter (best rated first), refreshes the news desk's columns, marks stories no longer in the digest and never changes the team's Status, Assigned to and Editor notes. Each quarter has an issue plan tab built from the layout, with the proposed stories chosen from the quarter's shortlisted headlines. The website publishes the layout for it (exports/layout.json); research papers in the website's data now carry an id.</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the shared planning sheet: paste the new assistant/bridge.gs into the Apps Script project (keep the link to the key document on line 15), run setupPlanningSheet once and allow the permissions, open the address it logs, share the sheet with the team (Share button) and, if wanted, paste the address into config.yaml under planning, sheet_url (README, Shared planning sheet). Check the suggested issue layout (config.yaml, issue_layout) with the editorial board and adjust the sections, slots and pages.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sandf.2026.101888" TargetMode="External"/><Relationship Id="rId11" Type="http://schemas.openxmlformats.org/officeDocument/2006/relationships/hyperlink" Target="https://doi.org/10.1016/j.soildyn.2026.110781" TargetMode="External"/><Relationship Id="rId12" Type="http://schemas.openxmlformats.org/officeDocument/2006/relationships/hyperlink" Target="https://doi.org/10.1016/j.tust.2026.108249" TargetMode="External"/><Relationship Id="rId13" Type="http://schemas.openxmlformats.org/officeDocument/2006/relationships/hyperlink" Target="https://doi.org/10.1016/j.tust.2026.108223" TargetMode="External"/><Relationship Id="rId14" Type="http://schemas.openxmlformats.org/officeDocument/2006/relationships/hyperlink" Target="https://doi.org/10.1016/j.tust.2026.108251" TargetMode="External"/><Relationship Id="rId15" Type="http://schemas.openxmlformats.org/officeDocument/2006/relationships/hyperlink" Target="https://doi.org/10.1016/j.soildyn.2026.110791" TargetMode="External"/><Relationship Id="rId16" Type="http://schemas.openxmlformats.org/officeDocument/2006/relationships/hyperlink" Target="https://doi.org/10.1016/j.soildyn.2026.110759" TargetMode="External"/><Relationship Id="rId17" Type="http://schemas.openxmlformats.org/officeDocument/2006/relationships/hyperlink" Target="https://doi.org/10.1016/j.sandf.2026.1018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