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31 October 2026, 09:11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2026-10-31 (09:05 UTC)</w:t>
            </w:r>
          </w:p>
        </w:tc>
      </w:tr>
      <w:tr>
        <w:tc>
          <w:tcPr>
            <w:tcW w:type="dxa" w:w="4535"/>
            <w:shd w:val="clear" w:color="auto" w:fill="F3F5F7"/>
          </w:tcPr>
          <w:p>
            <w:r/>
            <w:r>
              <w:rPr>
                <w:sz w:val="19"/>
              </w:rPr>
              <w:t>Stories in latest digest</w:t>
            </w:r>
          </w:p>
        </w:tc>
        <w:tc>
          <w:tcPr>
            <w:tcW w:type="dxa" w:w="5102"/>
            <w:shd w:val="clear" w:color="auto" w:fill="F3F5F7"/>
          </w:tcPr>
          <w:p>
            <w:r/>
            <w:r>
              <w:rPr>
                <w:sz w:val="19"/>
              </w:rPr>
              <w:t>40</w:t>
            </w:r>
          </w:p>
        </w:tc>
      </w:tr>
      <w:tr>
        <w:tc>
          <w:tcPr>
            <w:tcW w:type="dxa" w:w="4535"/>
          </w:tcPr>
          <w:p>
            <w:r/>
            <w:r>
              <w:rPr>
                <w:sz w:val="19"/>
              </w:rPr>
              <w:t>New items scanned</w:t>
            </w:r>
          </w:p>
        </w:tc>
        <w:tc>
          <w:tcPr>
            <w:tcW w:type="dxa" w:w="5102"/>
          </w:tcPr>
          <w:p>
            <w:r/>
            <w:r>
              <w:rPr>
                <w:sz w:val="19"/>
              </w:rPr>
              <w:t>719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354</w:t>
            </w:r>
          </w:p>
        </w:tc>
      </w:tr>
      <w:tr>
        <w:tc>
          <w:tcPr>
            <w:tcW w:type="dxa" w:w="4535"/>
            <w:shd w:val="clear" w:color="auto" w:fill="F3F5F7"/>
          </w:tcPr>
          <w:p>
            <w:r/>
            <w:r>
              <w:rPr>
                <w:sz w:val="19"/>
              </w:rPr>
              <w:t>Daily digests archived</w:t>
            </w:r>
          </w:p>
        </w:tc>
        <w:tc>
          <w:tcPr>
            <w:tcW w:type="dxa" w:w="5102"/>
            <w:shd w:val="clear" w:color="auto" w:fill="F3F5F7"/>
          </w:tcPr>
          <w:p>
            <w:r/>
            <w:r>
              <w:rPr>
                <w:sz w:val="19"/>
              </w:rPr>
              <w:t>8</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332 of 354</w:t>
            </w:r>
          </w:p>
        </w:tc>
      </w:tr>
      <w:tr>
        <w:tc>
          <w:tcPr>
            <w:tcW w:type="dxa" w:w="4535"/>
          </w:tcPr>
          <w:p>
            <w:r/>
            <w:r>
              <w:rPr>
                <w:sz w:val="19"/>
              </w:rPr>
              <w:t>Developing stories (two or more reports)</w:t>
            </w:r>
          </w:p>
        </w:tc>
        <w:tc>
          <w:tcPr>
            <w:tcW w:type="dxa" w:w="5102"/>
          </w:tcPr>
          <w:p>
            <w:r/>
            <w:r>
              <w:rPr>
                <w:sz w:val="19"/>
              </w:rPr>
              <w:t>40</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 world map of where the events take place,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(the round Ask AI button at the bottom right of every page),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4 themes covered; the largest is Hazards &amp; Resilience with 18 of 40 stories (45%).</w:t>
      </w:r>
    </w:p>
    <w:p>
      <w:pPr>
        <w:spacing w:after="60"/>
      </w:pPr>
      <w:r>
        <w:rPr>
          <w:b/>
          <w:color w:val="5B6573"/>
        </w:rPr>
        <w:t xml:space="preserve">• </w:t>
      </w:r>
      <w:r>
        <w:t>35 different outlets contributed; the most frequent was Tunnelling Journal (3 stories).</w:t>
      </w:r>
    </w:p>
    <w:p>
      <w:pPr>
        <w:spacing w:after="60"/>
      </w:pPr>
      <w:r>
        <w:rPr>
          <w:b/>
          <w:color w:val="5B6573"/>
        </w:rPr>
        <w:t xml:space="preserve">• </w:t>
      </w:r>
      <w:r>
        <w:t>32 stories came from non-English Google News editions.</w:t>
      </w:r>
    </w:p>
    <w:p>
      <w:pPr>
        <w:spacing w:after="60"/>
      </w:pPr>
      <w:r>
        <w:rPr>
          <w:b/>
          <w:color w:val="5B6573"/>
        </w:rPr>
        <w:t xml:space="preserve">• </w:t>
      </w:r>
      <w:r>
        <w:t>19 stories were rated 4 or 5 out of 5.</w:t>
      </w:r>
    </w:p>
    <w:p>
      <w:pPr>
        <w:spacing w:after="60"/>
      </w:pPr>
      <w:r>
        <w:rPr>
          <w:b/>
          <w:color w:val="5B6573"/>
        </w:rPr>
        <w:t xml:space="preserve">• </w:t>
      </w:r>
      <w:r>
        <w:t>40 of the 40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8</w:t>
            </w:r>
          </w:p>
        </w:tc>
        <w:tc>
          <w:tcPr>
            <w:tcW w:type="dxa" w:w="1134"/>
          </w:tcPr>
          <w:p>
            <w:r/>
            <w:r>
              <w:rPr>
                <w:sz w:val="19"/>
              </w:rPr>
              <w:t>354</w:t>
            </w:r>
          </w:p>
        </w:tc>
        <w:tc>
          <w:tcPr>
            <w:tcW w:type="dxa" w:w="1417"/>
          </w:tcPr>
          <w:p>
            <w:r/>
            <w:r>
              <w:rPr>
                <w:sz w:val="19"/>
              </w:rPr>
              <w:t>24</w:t>
            </w:r>
          </w:p>
        </w:tc>
        <w:tc>
          <w:tcPr>
            <w:tcW w:type="dxa" w:w="1701"/>
          </w:tcPr>
          <w:p>
            <w:r/>
            <w:r>
              <w:rPr>
                <w:sz w:val="19"/>
              </w:rPr>
              <w:t>126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7</w:t>
            </w:r>
          </w:p>
        </w:tc>
        <w:tc>
          <w:tcPr>
            <w:tcW w:type="dxa" w:w="1417"/>
          </w:tcPr>
          <w:p>
            <w:r/>
            <w:r>
              <w:rPr>
                <w:sz w:val="19"/>
              </w:rPr>
              <w:t>2%</w:t>
            </w:r>
          </w:p>
        </w:tc>
        <w:tc>
          <w:tcPr>
            <w:tcW w:type="dxa" w:w="1701"/>
          </w:tcPr>
          <w:p>
            <w:r/>
            <w:r>
              <w:rPr>
                <w:sz w:val="19"/>
              </w:rPr>
              <w:t>3</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11</w:t>
            </w:r>
          </w:p>
        </w:tc>
        <w:tc>
          <w:tcPr>
            <w:tcW w:type="dxa" w:w="1417"/>
            <w:shd w:val="clear" w:color="auto" w:fill="F3F5F7"/>
          </w:tcPr>
          <w:p>
            <w:r/>
            <w:r>
              <w:rPr>
                <w:sz w:val="19"/>
              </w:rPr>
              <w:t>3%</w:t>
            </w:r>
          </w:p>
        </w:tc>
        <w:tc>
          <w:tcPr>
            <w:tcW w:type="dxa" w:w="1701"/>
            <w:shd w:val="clear" w:color="auto" w:fill="F3F5F7"/>
          </w:tcPr>
          <w:p>
            <w:r/>
            <w:r>
              <w:rPr>
                <w:sz w:val="19"/>
              </w:rPr>
              <w:t>6</w:t>
            </w:r>
          </w:p>
        </w:tc>
      </w:tr>
      <w:tr>
        <w:tc>
          <w:tcPr>
            <w:tcW w:type="dxa" w:w="4535"/>
            <w:shd w:val="clear" w:color="auto" w:fill="FAE5DF"/>
          </w:tcPr>
          <w:p>
            <w:r/>
            <w:r>
              <w:rPr>
                <w:b/>
                <w:color w:val="E04F2C"/>
                <w:sz w:val="19"/>
              </w:rPr>
              <w:t>Hazards &amp; Resilience</w:t>
            </w:r>
          </w:p>
        </w:tc>
        <w:tc>
          <w:tcPr>
            <w:tcW w:type="dxa" w:w="1417"/>
          </w:tcPr>
          <w:p>
            <w:r/>
            <w:r>
              <w:rPr>
                <w:sz w:val="19"/>
              </w:rPr>
              <w:t>142</w:t>
            </w:r>
          </w:p>
        </w:tc>
        <w:tc>
          <w:tcPr>
            <w:tcW w:type="dxa" w:w="1417"/>
          </w:tcPr>
          <w:p>
            <w:r/>
            <w:r>
              <w:rPr>
                <w:sz w:val="19"/>
              </w:rPr>
              <w:t>40%</w:t>
            </w:r>
          </w:p>
        </w:tc>
        <w:tc>
          <w:tcPr>
            <w:tcW w:type="dxa" w:w="1701"/>
          </w:tcPr>
          <w:p>
            <w:r/>
            <w:r>
              <w:rPr>
                <w:sz w:val="19"/>
              </w:rPr>
              <w:t>105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7</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134</w:t>
            </w:r>
          </w:p>
        </w:tc>
        <w:tc>
          <w:tcPr>
            <w:tcW w:type="dxa" w:w="1417"/>
          </w:tcPr>
          <w:p>
            <w:r/>
            <w:r>
              <w:rPr>
                <w:sz w:val="19"/>
              </w:rPr>
              <w:t>38%</w:t>
            </w:r>
          </w:p>
        </w:tc>
        <w:tc>
          <w:tcPr>
            <w:tcW w:type="dxa" w:w="1701"/>
          </w:tcPr>
          <w:p>
            <w:r/>
            <w:r>
              <w:rPr>
                <w:sz w:val="19"/>
              </w:rPr>
              <w:t>55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26</w:t>
            </w:r>
          </w:p>
        </w:tc>
        <w:tc>
          <w:tcPr>
            <w:tcW w:type="dxa" w:w="1417"/>
            <w:shd w:val="clear" w:color="auto" w:fill="F3F5F7"/>
          </w:tcPr>
          <w:p>
            <w:r/>
            <w:r>
              <w:rPr>
                <w:sz w:val="19"/>
              </w:rPr>
              <w:t>7%</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19</w:t>
            </w:r>
          </w:p>
        </w:tc>
        <w:tc>
          <w:tcPr>
            <w:tcW w:type="dxa" w:w="1417"/>
          </w:tcPr>
          <w:p>
            <w:r/>
            <w:r>
              <w:rPr>
                <w:sz w:val="19"/>
              </w:rPr>
              <w:t>5%</w:t>
            </w:r>
          </w:p>
        </w:tc>
        <w:tc>
          <w:tcPr>
            <w:tcW w:type="dxa" w:w="1701"/>
          </w:tcPr>
          <w:p>
            <w:r/>
            <w:r>
              <w:rPr>
                <w:sz w:val="19"/>
              </w:rPr>
              <w:t>8</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8</w:t>
            </w:r>
          </w:p>
        </w:tc>
        <w:tc>
          <w:tcPr>
            <w:tcW w:type="dxa" w:w="1417"/>
            <w:shd w:val="clear" w:color="auto" w:fill="F3F5F7"/>
          </w:tcPr>
          <w:p>
            <w:r/>
            <w:r>
              <w:rPr>
                <w:sz w:val="19"/>
              </w:rPr>
              <w:t>2%</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332 of 354 stories are located in a country of one of ISSMGE's six regions; 22 are global or about several countries and 0 have no location yet. 31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5</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131</w:t>
            </w:r>
          </w:p>
        </w:tc>
        <w:tc>
          <w:tcPr>
            <w:tcW w:type="dxa" w:w="1814"/>
            <w:shd w:val="clear" w:color="auto" w:fill="F3F5F7"/>
          </w:tcPr>
          <w:p>
            <w:r/>
            <w:r>
              <w:rPr>
                <w:sz w:val="19"/>
              </w:rPr>
              <w:t>8 of 26</w:t>
            </w:r>
          </w:p>
        </w:tc>
        <w:tc>
          <w:tcPr>
            <w:tcW w:type="dxa" w:w="4989"/>
            <w:shd w:val="clear" w:color="auto" w:fill="F3F5F7"/>
          </w:tcPr>
          <w:p>
            <w:r/>
            <w:r>
              <w:rPr>
                <w:sz w:val="19"/>
              </w:rPr>
              <w:t>Bangladesh, Hong Kong, Iran, Iraq, Kazakhstan, Kyrgyzstan, Lebanon, Mongolia,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6</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71</w:t>
            </w:r>
          </w:p>
        </w:tc>
        <w:tc>
          <w:tcPr>
            <w:tcW w:type="dxa" w:w="1814"/>
            <w:shd w:val="clear" w:color="auto" w:fill="F3F5F7"/>
          </w:tcPr>
          <w:p>
            <w:r/>
            <w:r>
              <w:rPr>
                <w:sz w:val="19"/>
              </w:rPr>
              <w:t>10 of 37</w:t>
            </w:r>
          </w:p>
        </w:tc>
        <w:tc>
          <w:tcPr>
            <w:tcW w:type="dxa" w:w="4989"/>
            <w:shd w:val="clear" w:color="auto" w:fill="F3F5F7"/>
          </w:tcPr>
          <w:p>
            <w:r/>
            <w:r>
              <w:rPr>
                <w:sz w:val="19"/>
              </w:rPr>
              <w:t>Austria, Belgium, Bosnia and Herzegovina, Bulgaria, Croatia, Cyprus, Czechia, Estonia, Finland, Georgia, Germany, Greece, Hungary, Iceland, Ireland, Israel, Latvia, Lithuania, Netherlands, North Macedonia, Norway, Portugal, Serbia, Slovakia, Slovenia, Sweden, Switzerland</w:t>
            </w:r>
          </w:p>
        </w:tc>
      </w:tr>
      <w:tr>
        <w:tc>
          <w:tcPr>
            <w:tcW w:type="dxa" w:w="1814"/>
          </w:tcPr>
          <w:p>
            <w:r/>
            <w:r>
              <w:rPr>
                <w:sz w:val="19"/>
              </w:rPr>
              <w:t>North America</w:t>
            </w:r>
          </w:p>
        </w:tc>
        <w:tc>
          <w:tcPr>
            <w:tcW w:type="dxa" w:w="1020"/>
          </w:tcPr>
          <w:p>
            <w:r/>
            <w:r>
              <w:rPr>
                <w:sz w:val="19"/>
              </w:rPr>
              <w:t>61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58</w:t>
            </w:r>
          </w:p>
        </w:tc>
        <w:tc>
          <w:tcPr>
            <w:tcW w:type="dxa" w:w="1814"/>
            <w:shd w:val="clear" w:color="auto" w:fill="F3F5F7"/>
          </w:tcPr>
          <w:p>
            <w:r/>
            <w:r>
              <w:rPr>
                <w:sz w:val="19"/>
              </w:rPr>
              <w:t>6 of 11</w:t>
            </w:r>
          </w:p>
        </w:tc>
        <w:tc>
          <w:tcPr>
            <w:tcW w:type="dxa" w:w="4989"/>
            <w:shd w:val="clear" w:color="auto" w:fill="F3F5F7"/>
          </w:tcPr>
          <w:p>
            <w:r/>
            <w:r>
              <w:rPr>
                <w:sz w:val="19"/>
              </w:rPr>
              <w:t>Bolivia, Costa Rica, Cuba, Guatemala, Paraguay</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40 developing stories link 113 reports; 40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6</w:t>
            </w:r>
          </w:p>
        </w:tc>
        <w:tc>
          <w:tcPr>
            <w:tcW w:type="dxa" w:w="1191"/>
            <w:shd w:val="clear" w:color="auto" w:fill="F3F5F7"/>
          </w:tcPr>
          <w:p>
            <w:r/>
            <w:r>
              <w:rPr>
                <w:sz w:val="19"/>
              </w:rPr>
              <w:t>23 Oct 2026</w:t>
            </w:r>
          </w:p>
        </w:tc>
        <w:tc>
          <w:tcPr>
            <w:tcW w:type="dxa" w:w="1191"/>
            <w:shd w:val="clear" w:color="auto" w:fill="F3F5F7"/>
          </w:tcPr>
          <w:p>
            <w:r/>
            <w:r>
              <w:rPr>
                <w:sz w:val="19"/>
              </w:rPr>
              <w:t>31 Oct 2026</w:t>
            </w:r>
          </w:p>
        </w:tc>
        <w:tc>
          <w:tcPr>
            <w:tcW w:type="dxa" w:w="1361"/>
            <w:shd w:val="clear" w:color="auto" w:fill="F3F5F7"/>
          </w:tcPr>
          <w:p>
            <w:r/>
            <w:r>
              <w:rPr>
                <w:sz w:val="19"/>
              </w:rPr>
              <w:t>Response &amp; recovery</w:t>
            </w:r>
          </w:p>
        </w:tc>
      </w:tr>
      <w:tr>
        <w:tc>
          <w:tcPr>
            <w:tcW w:type="dxa" w:w="3061"/>
          </w:tcPr>
          <w:p>
            <w:r/>
            <w:r>
              <w:rPr>
                <w:sz w:val="19"/>
              </w:rPr>
              <w:t>Mazatlán malecón wave sinkhole, Mexico (Oct 2026)</w:t>
            </w:r>
          </w:p>
        </w:tc>
        <w:tc>
          <w:tcPr>
            <w:tcW w:type="dxa" w:w="1928"/>
          </w:tcPr>
          <w:p>
            <w:r/>
            <w:r>
              <w:rPr>
                <w:sz w:val="19"/>
              </w:rPr>
              <w:t>Monumento a la Mujer Mazatleca, Mazatlán, Mexico</w:t>
            </w:r>
          </w:p>
        </w:tc>
        <w:tc>
          <w:tcPr>
            <w:tcW w:type="dxa" w:w="907"/>
          </w:tcPr>
          <w:p>
            <w:r/>
            <w:r>
              <w:rPr>
                <w:sz w:val="19"/>
              </w:rPr>
              <w:t>6</w:t>
            </w:r>
          </w:p>
        </w:tc>
        <w:tc>
          <w:tcPr>
            <w:tcW w:type="dxa" w:w="1191"/>
          </w:tcPr>
          <w:p>
            <w:r/>
            <w:r>
              <w:rPr>
                <w:sz w:val="19"/>
              </w:rPr>
              <w:t>23 Oct 2026</w:t>
            </w:r>
          </w:p>
        </w:tc>
        <w:tc>
          <w:tcPr>
            <w:tcW w:type="dxa" w:w="1191"/>
          </w:tcPr>
          <w:p>
            <w:r/>
            <w:r>
              <w:rPr>
                <w:sz w:val="19"/>
              </w:rPr>
              <w:t>30 Oct 2026</w:t>
            </w:r>
          </w:p>
        </w:tc>
        <w:tc>
          <w:tcPr>
            <w:tcW w:type="dxa" w:w="1361"/>
          </w:tcPr>
          <w:p>
            <w:r/>
            <w:r>
              <w:rPr>
                <w:sz w:val="19"/>
              </w:rPr>
              <w:t>Response &amp; recovery</w:t>
            </w:r>
          </w:p>
        </w:tc>
      </w:tr>
      <w:tr>
        <w:tc>
          <w:tcPr>
            <w:tcW w:type="dxa" w:w="3061"/>
            <w:shd w:val="clear" w:color="auto" w:fill="F3F5F7"/>
          </w:tcPr>
          <w:p>
            <w:r/>
            <w:r>
              <w:rPr>
                <w:sz w:val="19"/>
              </w:rPr>
              <w:t>Canadian permafrost landslide study (Oct 2026)</w:t>
            </w:r>
          </w:p>
        </w:tc>
        <w:tc>
          <w:tcPr>
            <w:tcW w:type="dxa" w:w="1928"/>
            <w:shd w:val="clear" w:color="auto" w:fill="F3F5F7"/>
          </w:tcPr>
          <w:p>
            <w:r/>
            <w:r>
              <w:rPr>
                <w:sz w:val="19"/>
              </w:rPr>
              <w:t>Canada</w:t>
            </w:r>
          </w:p>
        </w:tc>
        <w:tc>
          <w:tcPr>
            <w:tcW w:type="dxa" w:w="907"/>
            <w:shd w:val="clear" w:color="auto" w:fill="F3F5F7"/>
          </w:tcPr>
          <w:p>
            <w:r/>
            <w:r>
              <w:rPr>
                <w:sz w:val="19"/>
              </w:rPr>
              <w:t>6</w:t>
            </w:r>
          </w:p>
        </w:tc>
        <w:tc>
          <w:tcPr>
            <w:tcW w:type="dxa" w:w="1191"/>
            <w:shd w:val="clear" w:color="auto" w:fill="F3F5F7"/>
          </w:tcPr>
          <w:p>
            <w:r/>
            <w:r>
              <w:rPr>
                <w:sz w:val="19"/>
              </w:rPr>
              <w:t>26 Oct 2026</w:t>
            </w:r>
          </w:p>
        </w:tc>
        <w:tc>
          <w:tcPr>
            <w:tcW w:type="dxa" w:w="1191"/>
            <w:shd w:val="clear" w:color="auto" w:fill="F3F5F7"/>
          </w:tcPr>
          <w:p>
            <w:r/>
            <w:r>
              <w:rPr>
                <w:sz w:val="19"/>
              </w:rPr>
              <w:t>29 Oct 2026</w:t>
            </w:r>
          </w:p>
        </w:tc>
        <w:tc>
          <w:tcPr>
            <w:tcW w:type="dxa" w:w="1361"/>
            <w:shd w:val="clear" w:color="auto" w:fill="F3F5F7"/>
          </w:tcPr>
          <w:p>
            <w:r/>
            <w:r>
              <w:rPr>
                <w:sz w:val="19"/>
              </w:rPr>
              <w:t>Update</w:t>
            </w:r>
          </w:p>
        </w:tc>
      </w:tr>
      <w:tr>
        <w:tc>
          <w:tcPr>
            <w:tcW w:type="dxa" w:w="3061"/>
          </w:tcPr>
          <w:p>
            <w:r/>
            <w:r>
              <w:rPr>
                <w:sz w:val="19"/>
              </w:rPr>
              <w:t>Senapred declares Red Alert in the Metropolitan Region: the 10 commun… (Oct 2026)</w:t>
            </w:r>
          </w:p>
        </w:tc>
        <w:tc>
          <w:tcPr>
            <w:tcW w:type="dxa" w:w="1928"/>
          </w:tcPr>
          <w:p>
            <w:r/>
            <w:r>
              <w:rPr>
                <w:sz w:val="19"/>
              </w:rPr>
              <w:t>Región Metropolitana, Santiago, Chile</w:t>
            </w:r>
          </w:p>
        </w:tc>
        <w:tc>
          <w:tcPr>
            <w:tcW w:type="dxa" w:w="907"/>
          </w:tcPr>
          <w:p>
            <w:r/>
            <w:r>
              <w:rPr>
                <w:sz w:val="19"/>
              </w:rPr>
              <w:t>5</w:t>
            </w:r>
          </w:p>
        </w:tc>
        <w:tc>
          <w:tcPr>
            <w:tcW w:type="dxa" w:w="1191"/>
          </w:tcPr>
          <w:p>
            <w:r/>
            <w:r>
              <w:rPr>
                <w:sz w:val="19"/>
              </w:rPr>
              <w:t>26 Oct 2026</w:t>
            </w:r>
          </w:p>
        </w:tc>
        <w:tc>
          <w:tcPr>
            <w:tcW w:type="dxa" w:w="1191"/>
          </w:tcPr>
          <w:p>
            <w:r/>
            <w:r>
              <w:rPr>
                <w:sz w:val="19"/>
              </w:rPr>
              <w:t>30 Oct 2026</w:t>
            </w:r>
          </w:p>
        </w:tc>
        <w:tc>
          <w:tcPr>
            <w:tcW w:type="dxa" w:w="1361"/>
          </w:tcPr>
          <w:p>
            <w:r/>
            <w:r>
              <w:rPr>
                <w:sz w:val="19"/>
              </w:rPr>
              <w:t>Update</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Panama Metro Line 3 canal tunnel, Panama</w:t>
            </w:r>
          </w:p>
        </w:tc>
        <w:tc>
          <w:tcPr>
            <w:tcW w:type="dxa" w:w="1928"/>
            <w:shd w:val="clear" w:color="auto" w:fill="F3F5F7"/>
          </w:tcPr>
          <w:p>
            <w:r/>
            <w:r>
              <w:rPr>
                <w:sz w:val="19"/>
              </w:rPr>
              <w:t>Panama Canal, Panama, Panama</w:t>
            </w:r>
          </w:p>
        </w:tc>
        <w:tc>
          <w:tcPr>
            <w:tcW w:type="dxa" w:w="907"/>
            <w:shd w:val="clear" w:color="auto" w:fill="F3F5F7"/>
          </w:tcPr>
          <w:p>
            <w:r/>
            <w:r>
              <w:rPr>
                <w:sz w:val="19"/>
              </w:rPr>
              <w:t>3</w:t>
            </w:r>
          </w:p>
        </w:tc>
        <w:tc>
          <w:tcPr>
            <w:tcW w:type="dxa" w:w="1191"/>
            <w:shd w:val="clear" w:color="auto" w:fill="F3F5F7"/>
          </w:tcPr>
          <w:p>
            <w:r/>
            <w:r>
              <w:rPr>
                <w:sz w:val="19"/>
              </w:rPr>
              <w:t>27 Oct 2026</w:t>
            </w:r>
          </w:p>
        </w:tc>
        <w:tc>
          <w:tcPr>
            <w:tcW w:type="dxa" w:w="1191"/>
            <w:shd w:val="clear" w:color="auto" w:fill="F3F5F7"/>
          </w:tcPr>
          <w:p>
            <w:r/>
            <w:r>
              <w:rPr>
                <w:sz w:val="19"/>
              </w:rPr>
              <w:t>30 Oct 2026</w:t>
            </w:r>
          </w:p>
        </w:tc>
        <w:tc>
          <w:tcPr>
            <w:tcW w:type="dxa" w:w="1361"/>
            <w:shd w:val="clear" w:color="auto" w:fill="F3F5F7"/>
          </w:tcPr>
          <w:p>
            <w:r/>
            <w:r>
              <w:rPr>
                <w:sz w:val="19"/>
              </w:rPr>
              <w:t>Update</w:t>
            </w:r>
          </w:p>
        </w:tc>
      </w:tr>
      <w:tr>
        <w:tc>
          <w:tcPr>
            <w:tcW w:type="dxa" w:w="3061"/>
          </w:tcPr>
          <w:p>
            <w:r/>
            <w:r>
              <w:rPr>
                <w:sz w:val="19"/>
              </w:rPr>
              <w:t>Prenn Pass slope collapses, Da Lat, Vietnam</w:t>
            </w:r>
          </w:p>
        </w:tc>
        <w:tc>
          <w:tcPr>
            <w:tcW w:type="dxa" w:w="1928"/>
          </w:tcPr>
          <w:p>
            <w:r/>
            <w:r>
              <w:rPr>
                <w:sz w:val="19"/>
              </w:rPr>
              <w:t>Prenn Pass, Da Lat, Vietnam</w:t>
            </w:r>
          </w:p>
        </w:tc>
        <w:tc>
          <w:tcPr>
            <w:tcW w:type="dxa" w:w="907"/>
          </w:tcPr>
          <w:p>
            <w:r/>
            <w:r>
              <w:rPr>
                <w:sz w:val="19"/>
              </w:rPr>
              <w:t>3</w:t>
            </w:r>
          </w:p>
        </w:tc>
        <w:tc>
          <w:tcPr>
            <w:tcW w:type="dxa" w:w="1191"/>
          </w:tcPr>
          <w:p>
            <w:r/>
            <w:r>
              <w:rPr>
                <w:sz w:val="19"/>
              </w:rPr>
              <w:t>27 Oct 2026</w:t>
            </w:r>
          </w:p>
        </w:tc>
        <w:tc>
          <w:tcPr>
            <w:tcW w:type="dxa" w:w="1191"/>
          </w:tcPr>
          <w:p>
            <w:r/>
            <w:r>
              <w:rPr>
                <w:sz w:val="19"/>
              </w:rPr>
              <w:t>29 Oct 2026</w:t>
            </w:r>
          </w:p>
        </w:tc>
        <w:tc>
          <w:tcPr>
            <w:tcW w:type="dxa" w:w="1361"/>
          </w:tcPr>
          <w:p>
            <w:r/>
            <w:r>
              <w:rPr>
                <w:sz w:val="19"/>
              </w:rPr>
              <w:t>Repair &amp; reconstruction</w:t>
            </w:r>
          </w:p>
        </w:tc>
      </w:tr>
      <w:tr>
        <w:tc>
          <w:tcPr>
            <w:tcW w:type="dxa" w:w="3061"/>
            <w:shd w:val="clear" w:color="auto" w:fill="F3F5F7"/>
          </w:tcPr>
          <w:p>
            <w:r/>
            <w:r>
              <w:rPr>
                <w:sz w:val="19"/>
              </w:rPr>
              <w:t>Krzyżowice mining-damage sinkhole, Poland (Oct 2026)</w:t>
            </w:r>
          </w:p>
        </w:tc>
        <w:tc>
          <w:tcPr>
            <w:tcW w:type="dxa" w:w="1928"/>
            <w:shd w:val="clear" w:color="auto" w:fill="F3F5F7"/>
          </w:tcPr>
          <w:p>
            <w:r/>
            <w:r>
              <w:rPr>
                <w:sz w:val="19"/>
              </w:rPr>
              <w:t>Krzyżowice, Poland</w:t>
            </w:r>
          </w:p>
        </w:tc>
        <w:tc>
          <w:tcPr>
            <w:tcW w:type="dxa" w:w="907"/>
            <w:shd w:val="clear" w:color="auto" w:fill="F3F5F7"/>
          </w:tcPr>
          <w:p>
            <w:r/>
            <w:r>
              <w:rPr>
                <w:sz w:val="19"/>
              </w:rPr>
              <w:t>3</w:t>
            </w:r>
          </w:p>
        </w:tc>
        <w:tc>
          <w:tcPr>
            <w:tcW w:type="dxa" w:w="1191"/>
            <w:shd w:val="clear" w:color="auto" w:fill="F3F5F7"/>
          </w:tcPr>
          <w:p>
            <w:r/>
            <w:r>
              <w:rPr>
                <w:sz w:val="19"/>
              </w:rPr>
              <w:t>29 Oct 2026</w:t>
            </w:r>
          </w:p>
        </w:tc>
        <w:tc>
          <w:tcPr>
            <w:tcW w:type="dxa" w:w="1191"/>
            <w:shd w:val="clear" w:color="auto" w:fill="F3F5F7"/>
          </w:tcPr>
          <w:p>
            <w:r/>
            <w:r>
              <w:rPr>
                <w:sz w:val="19"/>
              </w:rPr>
              <w:t>29 Oct 2026</w:t>
            </w:r>
          </w:p>
        </w:tc>
        <w:tc>
          <w:tcPr>
            <w:tcW w:type="dxa" w:w="1361"/>
            <w:shd w:val="clear" w:color="auto" w:fill="F3F5F7"/>
          </w:tcPr>
          <w:p>
            <w:r/>
            <w:r>
              <w:rPr>
                <w:sz w:val="19"/>
              </w:rPr>
              <w:t>Update</w:t>
            </w:r>
          </w:p>
        </w:tc>
      </w:tr>
    </w:tbl>
    <w:p/>
    <w:p>
      <w:pPr>
        <w:pStyle w:val="Heading1"/>
      </w:pPr>
      <w:r>
        <w:rPr>
          <w:color w:val="16324F"/>
        </w:rPr>
        <w:t>8. Research papers (Q4 2026)</w:t>
      </w:r>
    </w:p>
    <w:p>
      <w:r>
        <w:t>112 new papers from 22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Soil Dynamics and Earthquake Engineering</w:t>
            </w:r>
          </w:p>
        </w:tc>
        <w:tc>
          <w:tcPr>
            <w:tcW w:type="dxa" w:w="1701"/>
          </w:tcPr>
          <w:p>
            <w:r/>
            <w:r>
              <w:rPr>
                <w:sz w:val="19"/>
              </w:rPr>
              <w:t>11</w:t>
            </w:r>
          </w:p>
        </w:tc>
      </w:tr>
      <w:tr>
        <w:tc>
          <w:tcPr>
            <w:tcW w:type="dxa" w:w="6803"/>
            <w:shd w:val="clear" w:color="auto" w:fill="F3F5F7"/>
          </w:tcPr>
          <w:p>
            <w:r/>
            <w:r>
              <w:rPr>
                <w:sz w:val="19"/>
              </w:rPr>
              <w:t>Engineering Geology</w:t>
            </w:r>
          </w:p>
        </w:tc>
        <w:tc>
          <w:tcPr>
            <w:tcW w:type="dxa" w:w="1701"/>
            <w:shd w:val="clear" w:color="auto" w:fill="F3F5F7"/>
          </w:tcPr>
          <w:p>
            <w:r/>
            <w:r>
              <w:rPr>
                <w:sz w:val="19"/>
              </w:rPr>
              <w:t>11</w:t>
            </w:r>
          </w:p>
        </w:tc>
      </w:tr>
      <w:tr>
        <w:tc>
          <w:tcPr>
            <w:tcW w:type="dxa" w:w="6803"/>
          </w:tcPr>
          <w:p>
            <w:r/>
            <w:r>
              <w:rPr>
                <w:sz w:val="19"/>
              </w:rPr>
              <w:t>Rock Mechanics and Rock Engineering</w:t>
            </w:r>
          </w:p>
        </w:tc>
        <w:tc>
          <w:tcPr>
            <w:tcW w:type="dxa" w:w="1701"/>
          </w:tcPr>
          <w:p>
            <w:r/>
            <w:r>
              <w:rPr>
                <w:sz w:val="19"/>
              </w:rPr>
              <w:t>11</w:t>
            </w:r>
          </w:p>
        </w:tc>
      </w:tr>
      <w:tr>
        <w:tc>
          <w:tcPr>
            <w:tcW w:type="dxa" w:w="6803"/>
            <w:shd w:val="clear" w:color="auto" w:fill="F3F5F7"/>
          </w:tcPr>
          <w:p>
            <w:r/>
            <w:r>
              <w:rPr>
                <w:sz w:val="19"/>
              </w:rPr>
              <w:t>Transportation Geotechnics</w:t>
            </w:r>
          </w:p>
        </w:tc>
        <w:tc>
          <w:tcPr>
            <w:tcW w:type="dxa" w:w="1701"/>
            <w:shd w:val="clear" w:color="auto" w:fill="F3F5F7"/>
          </w:tcPr>
          <w:p>
            <w:r/>
            <w:r>
              <w:rPr>
                <w:sz w:val="19"/>
              </w:rPr>
              <w:t>10</w:t>
            </w:r>
          </w:p>
        </w:tc>
      </w:tr>
      <w:tr>
        <w:tc>
          <w:tcPr>
            <w:tcW w:type="dxa" w:w="6803"/>
          </w:tcPr>
          <w:p>
            <w:r/>
            <w:r>
              <w:rPr>
                <w:sz w:val="19"/>
              </w:rPr>
              <w:t>Bulletin of Engineering Geology and the Environment</w:t>
            </w:r>
          </w:p>
        </w:tc>
        <w:tc>
          <w:tcPr>
            <w:tcW w:type="dxa" w:w="1701"/>
          </w:tcPr>
          <w:p>
            <w:r/>
            <w:r>
              <w:rPr>
                <w:sz w:val="19"/>
              </w:rPr>
              <w:t>10</w:t>
            </w:r>
          </w:p>
        </w:tc>
      </w:tr>
      <w:tr>
        <w:tc>
          <w:tcPr>
            <w:tcW w:type="dxa" w:w="6803"/>
            <w:shd w:val="clear" w:color="auto" w:fill="F3F5F7"/>
          </w:tcPr>
          <w:p>
            <w:r/>
            <w:r>
              <w:rPr>
                <w:sz w:val="19"/>
              </w:rPr>
              <w:t>Journal of Geotechnical and Geoenvironmental Engineering</w:t>
            </w:r>
          </w:p>
        </w:tc>
        <w:tc>
          <w:tcPr>
            <w:tcW w:type="dxa" w:w="1701"/>
            <w:shd w:val="clear" w:color="auto" w:fill="F3F5F7"/>
          </w:tcPr>
          <w:p>
            <w:r/>
            <w:r>
              <w:rPr>
                <w:sz w:val="19"/>
              </w:rPr>
              <w:t>8</w:t>
            </w:r>
          </w:p>
        </w:tc>
      </w:tr>
      <w:tr>
        <w:tc>
          <w:tcPr>
            <w:tcW w:type="dxa" w:w="6803"/>
          </w:tcPr>
          <w:p>
            <w:r/>
            <w:r>
              <w:rPr>
                <w:sz w:val="19"/>
              </w:rPr>
              <w:t>Computers and Geotechnics</w:t>
            </w:r>
          </w:p>
        </w:tc>
        <w:tc>
          <w:tcPr>
            <w:tcW w:type="dxa" w:w="1701"/>
          </w:tcPr>
          <w:p>
            <w:r/>
            <w:r>
              <w:rPr>
                <w:sz w:val="19"/>
              </w:rPr>
              <w:t>7</w:t>
            </w:r>
          </w:p>
        </w:tc>
      </w:tr>
      <w:tr>
        <w:tc>
          <w:tcPr>
            <w:tcW w:type="dxa" w:w="6803"/>
            <w:shd w:val="clear" w:color="auto" w:fill="F3F5F7"/>
          </w:tcPr>
          <w:p>
            <w:r/>
            <w:r>
              <w:rPr>
                <w:sz w:val="19"/>
              </w:rPr>
              <w:t>Landslides</w:t>
            </w:r>
          </w:p>
        </w:tc>
        <w:tc>
          <w:tcPr>
            <w:tcW w:type="dxa" w:w="1701"/>
            <w:shd w:val="clear" w:color="auto" w:fill="F3F5F7"/>
          </w:tcPr>
          <w:p>
            <w:r/>
            <w:r>
              <w:rPr>
                <w:sz w:val="19"/>
              </w:rPr>
              <w:t>6</w:t>
            </w:r>
          </w:p>
        </w:tc>
      </w:tr>
      <w:tr>
        <w:tc>
          <w:tcPr>
            <w:tcW w:type="dxa" w:w="6803"/>
          </w:tcPr>
          <w:p>
            <w:r/>
            <w:r>
              <w:rPr>
                <w:sz w:val="19"/>
              </w:rPr>
              <w:t>Tunnelling and Underground Space Technology</w:t>
            </w:r>
          </w:p>
        </w:tc>
        <w:tc>
          <w:tcPr>
            <w:tcW w:type="dxa" w:w="1701"/>
          </w:tcPr>
          <w:p>
            <w:r/>
            <w:r>
              <w:rPr>
                <w:sz w:val="19"/>
              </w:rPr>
              <w:t>6</w:t>
            </w:r>
          </w:p>
        </w:tc>
      </w:tr>
      <w:tr>
        <w:tc>
          <w:tcPr>
            <w:tcW w:type="dxa" w:w="6803"/>
            <w:shd w:val="clear" w:color="auto" w:fill="F3F5F7"/>
          </w:tcPr>
          <w:p>
            <w:r/>
            <w:r>
              <w:rPr>
                <w:sz w:val="19"/>
              </w:rPr>
              <w:t>Journal of Rock Mechanics and Geotechnical Engineering</w:t>
            </w:r>
          </w:p>
        </w:tc>
        <w:tc>
          <w:tcPr>
            <w:tcW w:type="dxa" w:w="1701"/>
            <w:shd w:val="clear" w:color="auto" w:fill="F3F5F7"/>
          </w:tcPr>
          <w:p>
            <w:r/>
            <w:r>
              <w:rPr>
                <w:sz w:val="19"/>
              </w:rPr>
              <w:t>5</w:t>
            </w:r>
          </w:p>
        </w:tc>
      </w:tr>
      <w:tr>
        <w:tc>
          <w:tcPr>
            <w:tcW w:type="dxa" w:w="6803"/>
          </w:tcPr>
          <w:p>
            <w:r/>
            <w:r>
              <w:rPr>
                <w:sz w:val="19"/>
              </w:rPr>
              <w:t>Underground Space</w:t>
            </w:r>
          </w:p>
        </w:tc>
        <w:tc>
          <w:tcPr>
            <w:tcW w:type="dxa" w:w="1701"/>
          </w:tcPr>
          <w:p>
            <w:r/>
            <w:r>
              <w:rPr>
                <w:sz w:val="19"/>
              </w:rPr>
              <w:t>4</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International Journal for Numerical and Analytical Methods in Geomechanics</w:t>
            </w:r>
          </w:p>
        </w:tc>
        <w:tc>
          <w:tcPr>
            <w:tcW w:type="dxa" w:w="1701"/>
          </w:tcPr>
          <w:p>
            <w:r/>
            <w:r>
              <w:rPr>
                <w:sz w:val="19"/>
              </w:rPr>
              <w:t>3</w:t>
            </w:r>
          </w:p>
        </w:tc>
      </w:tr>
      <w:tr>
        <w:tc>
          <w:tcPr>
            <w:tcW w:type="dxa" w:w="6803"/>
            <w:shd w:val="clear" w:color="auto" w:fill="F3F5F7"/>
          </w:tcPr>
          <w:p>
            <w:r/>
            <w:r>
              <w:rPr>
                <w:sz w:val="19"/>
              </w:rPr>
              <w:t>Soils and Foundations</w:t>
            </w:r>
          </w:p>
        </w:tc>
        <w:tc>
          <w:tcPr>
            <w:tcW w:type="dxa" w:w="1701"/>
            <w:shd w:val="clear" w:color="auto" w:fill="F3F5F7"/>
          </w:tcPr>
          <w:p>
            <w:r/>
            <w:r>
              <w:rPr>
                <w:sz w:val="19"/>
              </w:rPr>
              <w:t>3</w:t>
            </w:r>
          </w:p>
        </w:tc>
      </w:tr>
      <w:tr>
        <w:tc>
          <w:tcPr>
            <w:tcW w:type="dxa" w:w="6803"/>
          </w:tcPr>
          <w:p>
            <w:r/>
            <w:r>
              <w:rPr>
                <w:sz w:val="19"/>
              </w:rPr>
              <w:t>Canadian Geotechnical Journal</w:t>
            </w:r>
          </w:p>
        </w:tc>
        <w:tc>
          <w:tcPr>
            <w:tcW w:type="dxa" w:w="1701"/>
          </w:tcPr>
          <w:p>
            <w:r/>
            <w:r>
              <w:rPr>
                <w:sz w:val="19"/>
              </w:rPr>
              <w:t>2</w:t>
            </w:r>
          </w:p>
        </w:tc>
      </w:tr>
      <w:tr>
        <w:tc>
          <w:tcPr>
            <w:tcW w:type="dxa" w:w="6803"/>
            <w:shd w:val="clear" w:color="auto" w:fill="F3F5F7"/>
          </w:tcPr>
          <w:p>
            <w:r/>
            <w:r>
              <w:rPr>
                <w:sz w:val="19"/>
              </w:rPr>
              <w:t>Géotechnique</w:t>
            </w:r>
          </w:p>
        </w:tc>
        <w:tc>
          <w:tcPr>
            <w:tcW w:type="dxa" w:w="1701"/>
            <w:shd w:val="clear" w:color="auto" w:fill="F3F5F7"/>
          </w:tcPr>
          <w:p>
            <w:r/>
            <w:r>
              <w:rPr>
                <w:sz w:val="19"/>
              </w:rPr>
              <w:t>2</w:t>
            </w:r>
          </w:p>
        </w:tc>
      </w:tr>
      <w:tr>
        <w:tc>
          <w:tcPr>
            <w:tcW w:type="dxa" w:w="6803"/>
          </w:tcPr>
          <w:p>
            <w:r/>
            <w:r>
              <w:rPr>
                <w:sz w:val="19"/>
              </w:rPr>
              <w:t>International Journal of Geomechanics</w:t>
            </w:r>
          </w:p>
        </w:tc>
        <w:tc>
          <w:tcPr>
            <w:tcW w:type="dxa" w:w="1701"/>
          </w:tcPr>
          <w:p>
            <w:r/>
            <w:r>
              <w:rPr>
                <w:sz w:val="19"/>
              </w:rPr>
              <w:t>2</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2</w:t>
            </w:r>
          </w:p>
        </w:tc>
      </w:tr>
      <w:tr>
        <w:tc>
          <w:tcPr>
            <w:tcW w:type="dxa" w:w="6803"/>
          </w:tcPr>
          <w:p>
            <w:r/>
            <w:r>
              <w:rPr>
                <w:sz w:val="19"/>
              </w:rPr>
              <w:t>Proceedings of the Institution of Civil Engineers - Geotechnical Engineering</w:t>
            </w:r>
          </w:p>
        </w:tc>
        <w:tc>
          <w:tcPr>
            <w:tcW w:type="dxa" w:w="1701"/>
          </w:tcPr>
          <w:p>
            <w:r/>
            <w:r>
              <w:rPr>
                <w:sz w:val="19"/>
              </w:rPr>
              <w:t>2</w:t>
            </w:r>
          </w:p>
        </w:tc>
      </w:tr>
      <w:tr>
        <w:tc>
          <w:tcPr>
            <w:tcW w:type="dxa" w:w="6803"/>
            <w:shd w:val="clear" w:color="auto" w:fill="F3F5F7"/>
          </w:tcPr>
          <w:p>
            <w:r/>
            <w:r>
              <w:rPr>
                <w:sz w:val="19"/>
              </w:rPr>
              <w:t>Géotechnique Letters</w:t>
            </w:r>
          </w:p>
        </w:tc>
        <w:tc>
          <w:tcPr>
            <w:tcW w:type="dxa" w:w="1701"/>
            <w:shd w:val="clear" w:color="auto" w:fill="F3F5F7"/>
          </w:tcPr>
          <w:p>
            <w:r/>
            <w:r>
              <w:rPr>
                <w:sz w:val="19"/>
              </w:rPr>
              <w:t>1</w:t>
            </w:r>
          </w:p>
        </w:tc>
      </w:tr>
      <w:tr>
        <w:tc>
          <w:tcPr>
            <w:tcW w:type="dxa" w:w="6803"/>
          </w:tcPr>
          <w:p>
            <w:r/>
            <w:r>
              <w:rPr>
                <w:sz w:val="19"/>
              </w:rPr>
              <w:t>Geosynthetics International</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bl>
    <w:p/>
    <w:p>
      <w:pPr>
        <w:pStyle w:val="ListBullet"/>
      </w:pPr>
      <w:hyperlink r:id="rId10">
        <w:r>
          <w:rPr>
            <w:b/>
            <w:color w:val="1D5A8A"/>
            <w:u w:val="single"/>
          </w:rPr>
          <w:t>Experimental Investigation of the Static-to-Kinetic Friction Transition of Piles in Sand Subjected to Various Loading Rates</w:t>
        </w:r>
      </w:hyperlink>
      <w:r>
        <w:t xml:space="preserve"> — Journal of Geotechnical and Geoenvironmental Engineering, 2026-10-29. Shows that pile capacity in sand drops noticeably with faster loading, so design and load-test interpretation should account for the rate at which loads are applied.</w:t>
      </w:r>
    </w:p>
    <w:p>
      <w:pPr>
        <w:pStyle w:val="ListBullet"/>
      </w:pPr>
      <w:hyperlink r:id="rId11">
        <w:r>
          <w:rPr>
            <w:b/>
            <w:color w:val="1D5A8A"/>
            <w:u w:val="single"/>
          </w:rPr>
          <w:t>Surrogate-assisted joint backcalculation of bimodular pavement layer moduli from FWD and staged plate-load tests on excavated formations</w:t>
        </w:r>
      </w:hyperlink>
      <w:r>
        <w:t xml:space="preserve"> — Transportation Geotechnics, 2026-10-28. Combines falling weight deflectometer and plate-load data to backcalculate layer moduli, giving pavement engineers a more reliable way to characterise subgrades.</w:t>
      </w:r>
    </w:p>
    <w:p>
      <w:pPr>
        <w:pStyle w:val="ListBullet"/>
      </w:pPr>
      <w:hyperlink r:id="rId12">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3">
        <w:r>
          <w:rPr>
            <w:b/>
            <w:color w:val="1D5A8A"/>
            <w:u w:val="single"/>
          </w:rPr>
          <w:t>Erosion-resistance mechanisms of biopolymer-vegetation reinforced slopes under rainfall using experimental and coupled CFD-DEM methods</w:t>
        </w:r>
      </w:hyperlink>
      <w:r>
        <w:t xml:space="preserve"> — Canadian Geotechnical Journal, 2026-10-30. Shows that combining biopolymer with vegetation cuts rainfall erosion on highway slopes, offering a greener stabilisation option engineers can weigh against conventional measures.</w:t>
      </w:r>
    </w:p>
    <w:p>
      <w:pPr>
        <w:pStyle w:val="ListBullet"/>
      </w:pPr>
      <w:hyperlink r:id="rId14">
        <w:r>
          <w:rPr>
            <w:b/>
            <w:color w:val="1D5A8A"/>
            <w:u w:val="single"/>
          </w:rPr>
          <w:t>Enhancing landslide displacement prediction by integrating geological conditions into an interpretable spatiotemporal deep learning model</w:t>
        </w:r>
      </w:hyperlink>
      <w:r>
        <w:t xml:space="preserve"> — Journal of Rock Mechanics and Geotechnical Engineering, 2026-10-31. Adds geological context to a deep learning landslide predictor, giving practitioners a more interpretable tool for forecasting slope displacement and prioritising monitoring.</w:t>
      </w:r>
    </w:p>
    <w:p>
      <w:pPr>
        <w:pStyle w:val="ListBullet"/>
      </w:pPr>
      <w:hyperlink r:id="rId15">
        <w:r>
          <w:rPr>
            <w:b/>
            <w:color w:val="1D5A8A"/>
            <w:u w:val="single"/>
          </w:rPr>
          <w:t>Large-Scale Triaxial Testing on Suffusion Characteristics and Permeability Evolution of Gap-Graded Soils under Different Controlling Constriction Sizes</w:t>
        </w:r>
      </w:hyperlink>
      <w:r>
        <w:t xml:space="preserve"> — Journal of Geotechnical and Geoenvironmental Engineering, 2026-10-31. Provides quantitative guidance on choosing leakage opening sizes for suffusion tests, helping engineers judge internal erosion risk in gap-graded fills and filters.</w:t>
      </w:r>
    </w:p>
    <w:p>
      <w:pPr>
        <w:pStyle w:val="ListBullet"/>
      </w:pPr>
      <w:hyperlink r:id="rId16">
        <w:r>
          <w:rPr>
            <w:b/>
            <w:color w:val="1D5A8A"/>
            <w:u w:val="single"/>
          </w:rPr>
          <w:t>Compaction of Fine-Grained soils under low water conditions: Experimental insights and performance improvement</w:t>
        </w:r>
      </w:hyperlink>
      <w:r>
        <w:t xml:space="preserve"> — Transportation Geotechnics, 2026-10-31. Shows how compaction of fine soils at low water content can be improved, offering earthworks practitioners practical ways to meet specifications in dry conditions.</w:t>
      </w:r>
    </w:p>
    <w:p>
      <w:pPr>
        <w:pStyle w:val="ListBullet"/>
      </w:pPr>
      <w:hyperlink r:id="rId17">
        <w:r>
          <w:rPr>
            <w:b/>
            <w:color w:val="1D5A8A"/>
            <w:u w:val="single"/>
          </w:rPr>
          <w:t>Digital monitoring of continuous outer-casing drilling and inner core-barrel sampling for profiling Shanghai soils</w:t>
        </w:r>
      </w:hyperlink>
      <w:r>
        <w:t xml:space="preserve"> — Journal of Rock Mechanics and Geotechnical Engineering, 2026-10-31. Digital recording of drilling and sampling parameters offers a richer, more objective soil profile for Shanghai projects than traditional logs.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41</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 Nov 2026</w:t>
            </w:r>
          </w:p>
        </w:tc>
        <w:tc>
          <w:tcPr>
            <w:tcW w:type="dxa" w:w="4535"/>
          </w:tcPr>
          <w:p>
            <w:r/>
            <w:r>
              <w:rPr>
                <w:sz w:val="19"/>
              </w:rPr>
              <w:t>DFI's 51st Annual Conference on Deep Foundations</w:t>
            </w:r>
          </w:p>
        </w:tc>
        <w:tc>
          <w:tcPr>
            <w:tcW w:type="dxa" w:w="2041"/>
          </w:tcPr>
          <w:p>
            <w:r/>
            <w:r>
              <w:rPr>
                <w:sz w:val="19"/>
              </w:rPr>
              <w:t>Orlando, United States</w:t>
            </w:r>
          </w:p>
        </w:tc>
        <w:tc>
          <w:tcPr>
            <w:tcW w:type="dxa" w:w="1701"/>
          </w:tcPr>
          <w:p>
            <w:r/>
            <w:r>
              <w:rPr>
                <w:sz w:val="19"/>
              </w:rPr>
              <w:t>Other conference</w:t>
            </w:r>
          </w:p>
        </w:tc>
      </w:tr>
      <w:tr>
        <w:tc>
          <w:tcPr>
            <w:tcW w:type="dxa" w:w="1361"/>
            <w:shd w:val="clear" w:color="auto" w:fill="F3F5F7"/>
          </w:tcPr>
          <w:p>
            <w:r/>
            <w:r>
              <w:rPr>
                <w:sz w:val="19"/>
              </w:rPr>
              <w:t>4 Nov 2026</w:t>
            </w:r>
          </w:p>
        </w:tc>
        <w:tc>
          <w:tcPr>
            <w:tcW w:type="dxa" w:w="4535"/>
            <w:shd w:val="clear" w:color="auto" w:fill="F3F5F7"/>
          </w:tcPr>
          <w:p>
            <w:r/>
            <w:r>
              <w:rPr>
                <w:sz w:val="19"/>
              </w:rPr>
              <w:t>2026 Geotechnical Engineering Proceedings Lecture: Strains in sprayed concrete tunnel linings at Heathrow Terminal 4 and back-calculation of stress</w:t>
            </w:r>
          </w:p>
        </w:tc>
        <w:tc>
          <w:tcPr>
            <w:tcW w:type="dxa" w:w="2041"/>
            <w:shd w:val="clear" w:color="auto" w:fill="F3F5F7"/>
          </w:tcPr>
          <w:p>
            <w:r/>
            <w:r>
              <w:rPr>
                <w:sz w:val="19"/>
              </w:rPr>
              <w:t>London, United Kingdom</w:t>
            </w:r>
          </w:p>
        </w:tc>
        <w:tc>
          <w:tcPr>
            <w:tcW w:type="dxa" w:w="1701"/>
            <w:shd w:val="clear" w:color="auto" w:fill="F3F5F7"/>
          </w:tcPr>
          <w:p>
            <w:r/>
            <w:r>
              <w:rPr>
                <w:sz w:val="19"/>
              </w:rPr>
              <w:t>Course / webinar</w:t>
            </w:r>
          </w:p>
        </w:tc>
      </w:tr>
      <w:tr>
        <w:tc>
          <w:tcPr>
            <w:tcW w:type="dxa" w:w="1361"/>
          </w:tcPr>
          <w:p>
            <w:r/>
            <w:r>
              <w:rPr>
                <w:sz w:val="19"/>
              </w:rPr>
              <w:t>4 Nov 2026</w:t>
            </w:r>
          </w:p>
        </w:tc>
        <w:tc>
          <w:tcPr>
            <w:tcW w:type="dxa" w:w="4535"/>
          </w:tcPr>
          <w:p>
            <w:r/>
            <w:r>
              <w:rPr>
                <w:sz w:val="19"/>
              </w:rPr>
              <w:t>International Conference on Performance-Based Design in Earthquake Geotechnical Engineering</w:t>
            </w:r>
          </w:p>
        </w:tc>
        <w:tc>
          <w:tcPr>
            <w:tcW w:type="dxa" w:w="2041"/>
          </w:tcPr>
          <w:p>
            <w:r/>
            <w:r>
              <w:rPr>
                <w:sz w:val="19"/>
              </w:rPr>
              <w:t>Puerto Varas, Chile</w:t>
            </w:r>
          </w:p>
        </w:tc>
        <w:tc>
          <w:tcPr>
            <w:tcW w:type="dxa" w:w="1701"/>
          </w:tcPr>
          <w:p>
            <w:r/>
            <w:r>
              <w:rPr>
                <w:sz w:val="19"/>
              </w:rPr>
              <w:t>ISSMGE-supported</w:t>
            </w:r>
          </w:p>
        </w:tc>
      </w:tr>
      <w:tr>
        <w:tc>
          <w:tcPr>
            <w:tcW w:type="dxa" w:w="1361"/>
            <w:shd w:val="clear" w:color="auto" w:fill="F3F5F7"/>
          </w:tcPr>
          <w:p>
            <w:r/>
            <w:r>
              <w:rPr>
                <w:sz w:val="19"/>
              </w:rPr>
              <w:t>10 Nov 2026</w:t>
            </w:r>
          </w:p>
        </w:tc>
        <w:tc>
          <w:tcPr>
            <w:tcW w:type="dxa" w:w="4535"/>
            <w:shd w:val="clear" w:color="auto" w:fill="F3F5F7"/>
          </w:tcPr>
          <w:p>
            <w:r/>
            <w:r>
              <w:rPr>
                <w:sz w:val="19"/>
              </w:rPr>
              <w:t>BGA ECG Advanced Laboratory Testing &amp; Dynamic Behaviour of Soils</w:t>
            </w:r>
          </w:p>
        </w:tc>
        <w:tc>
          <w:tcPr>
            <w:tcW w:type="dxa" w:w="2041"/>
            <w:shd w:val="clear" w:color="auto" w:fill="F3F5F7"/>
          </w:tcPr>
          <w:p>
            <w:r/>
            <w:r>
              <w:rPr>
                <w:sz w:val="19"/>
              </w:rPr>
              <w:t>Online</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ITACET Lunchtime Lecture Series #60</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Woh Hup Distinguished Lecture by Prof. Kenichi Soga</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12 Nov 2026</w:t>
            </w:r>
          </w:p>
        </w:tc>
        <w:tc>
          <w:tcPr>
            <w:tcW w:type="dxa" w:w="4535"/>
          </w:tcPr>
          <w:p>
            <w:r/>
            <w:r>
              <w:rPr>
                <w:sz w:val="19"/>
              </w:rPr>
              <w:t>10th Conference of the Croatian Geotechnical Society: Geotechnical Engineering in Soft Rocks and Heterogeneous Rock Masses – an ISRM Specialized Conference</w:t>
            </w:r>
          </w:p>
        </w:tc>
        <w:tc>
          <w:tcPr>
            <w:tcW w:type="dxa" w:w="2041"/>
          </w:tcPr>
          <w:p>
            <w:r/>
            <w:r>
              <w:rPr>
                <w:sz w:val="19"/>
              </w:rPr>
              <w:t>Split, Croatia</w:t>
            </w:r>
          </w:p>
        </w:tc>
        <w:tc>
          <w:tcPr>
            <w:tcW w:type="dxa" w:w="1701"/>
          </w:tcPr>
          <w:p>
            <w:r/>
            <w:r>
              <w:rPr>
                <w:sz w:val="19"/>
              </w:rPr>
              <w:t>Other conference</w:t>
            </w:r>
          </w:p>
        </w:tc>
      </w:tr>
      <w:tr>
        <w:tc>
          <w:tcPr>
            <w:tcW w:type="dxa" w:w="1361"/>
            <w:shd w:val="clear" w:color="auto" w:fill="F3F5F7"/>
          </w:tcPr>
          <w:p>
            <w:r/>
            <w:r>
              <w:rPr>
                <w:sz w:val="19"/>
              </w:rPr>
              <w:t>12 Nov 2026</w:t>
            </w:r>
          </w:p>
        </w:tc>
        <w:tc>
          <w:tcPr>
            <w:tcW w:type="dxa" w:w="4535"/>
            <w:shd w:val="clear" w:color="auto" w:fill="F3F5F7"/>
          </w:tcPr>
          <w:p>
            <w:r/>
            <w:r>
              <w:rPr>
                <w:sz w:val="19"/>
              </w:rPr>
              <w:t>Tunnel Turkey 2026</w:t>
            </w:r>
          </w:p>
        </w:tc>
        <w:tc>
          <w:tcPr>
            <w:tcW w:type="dxa" w:w="2041"/>
            <w:shd w:val="clear" w:color="auto" w:fill="F3F5F7"/>
          </w:tcPr>
          <w:p>
            <w:r/>
            <w:r>
              <w:rPr>
                <w:sz w:val="19"/>
              </w:rPr>
              <w:t>Türkiye</w:t>
            </w:r>
          </w:p>
        </w:tc>
        <w:tc>
          <w:tcPr>
            <w:tcW w:type="dxa" w:w="1701"/>
            <w:shd w:val="clear" w:color="auto" w:fill="F3F5F7"/>
          </w:tcPr>
          <w:p>
            <w:r/>
            <w:r>
              <w:rPr>
                <w:sz w:val="19"/>
              </w:rPr>
              <w:t>Other conference</w:t>
            </w:r>
          </w:p>
        </w:tc>
      </w:tr>
      <w:tr>
        <w:tc>
          <w:tcPr>
            <w:tcW w:type="dxa" w:w="1361"/>
          </w:tcPr>
          <w:p>
            <w:r/>
            <w:r>
              <w:rPr>
                <w:sz w:val="19"/>
              </w:rPr>
              <w:t>17 Nov 2026</w:t>
            </w:r>
          </w:p>
        </w:tc>
        <w:tc>
          <w:tcPr>
            <w:tcW w:type="dxa" w:w="4535"/>
          </w:tcPr>
          <w:p>
            <w:r/>
            <w:r>
              <w:rPr>
                <w:sz w:val="19"/>
              </w:rPr>
              <w:t>BGA Touring Lecture – Beyond Automation: Responsible AI Workflows in Geotechnical Modelling and Monitoring</w:t>
            </w:r>
          </w:p>
        </w:tc>
        <w:tc>
          <w:tcPr>
            <w:tcW w:type="dxa" w:w="2041"/>
          </w:tcPr>
          <w:p>
            <w:r/>
            <w:r>
              <w:rPr>
                <w:sz w:val="19"/>
              </w:rPr>
              <w:t>Leeds, United Kingdom</w:t>
            </w:r>
          </w:p>
        </w:tc>
        <w:tc>
          <w:tcPr>
            <w:tcW w:type="dxa" w:w="1701"/>
          </w:tcPr>
          <w:p>
            <w:r/>
            <w:r>
              <w:rPr>
                <w:sz w:val="19"/>
              </w:rPr>
              <w:t>Course / webinar</w:t>
            </w:r>
          </w:p>
        </w:tc>
      </w:tr>
      <w:tr>
        <w:tc>
          <w:tcPr>
            <w:tcW w:type="dxa" w:w="1361"/>
            <w:shd w:val="clear" w:color="auto" w:fill="F3F5F7"/>
          </w:tcPr>
          <w:p>
            <w:r/>
            <w:r>
              <w:rPr>
                <w:sz w:val="19"/>
              </w:rPr>
              <w:t>22 Nov 2026</w:t>
            </w:r>
          </w:p>
        </w:tc>
        <w:tc>
          <w:tcPr>
            <w:tcW w:type="dxa" w:w="4535"/>
            <w:shd w:val="clear" w:color="auto" w:fill="F3F5F7"/>
          </w:tcPr>
          <w:p>
            <w:r/>
            <w:r>
              <w:rPr>
                <w:sz w:val="19"/>
              </w:rPr>
              <w:t>ARMS14 – 14th Asian Rock Mechanics Symposium – Rock Mechanics for the Next Generation – Innovations, Sustainability, and Resilience – the 2026 ISRM International Symposium</w:t>
            </w:r>
          </w:p>
        </w:tc>
        <w:tc>
          <w:tcPr>
            <w:tcW w:type="dxa" w:w="2041"/>
            <w:shd w:val="clear" w:color="auto" w:fill="F3F5F7"/>
          </w:tcPr>
          <w:p>
            <w:r/>
            <w:r>
              <w:rPr>
                <w:sz w:val="19"/>
              </w:rPr>
              <w:t>Fukuoka, Japan</w:t>
            </w:r>
          </w:p>
        </w:tc>
        <w:tc>
          <w:tcPr>
            <w:tcW w:type="dxa" w:w="1701"/>
            <w:shd w:val="clear" w:color="auto" w:fill="F3F5F7"/>
          </w:tcPr>
          <w:p>
            <w:r/>
            <w:r>
              <w:rPr>
                <w:sz w:val="19"/>
              </w:rPr>
              <w:t>Other conference</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2026-10-29 · A shorter top bar, an Ask AI button and a map of the events</w:t>
      </w:r>
    </w:p>
    <w:p>
      <w:pPr>
        <w:pStyle w:val="ListBullet"/>
      </w:pPr>
      <w:r>
        <w:t>Top bar - it now has three items, to leave room for new pages later. Latest opens a short menu with Latest (today's digest), Trends, Developing stories and Archive; World map opens a menu with World map and Events; Search is a plain tab as before. Tap or click a menu to open it; tap it again, choose a page or tap anywhere else to close it. With a keyboard: Tab to the menu, Enter or Space opens it, the arrow keys move through it and Escape closes it. The menu holding the page you are on is highlighted, and inside it that page is marked. The menus work the same on an iPad, a phone and a computer, and also when the browser runs no scripts. Every button in the top bar is now at least the size of a fingertip, so it is easy to tap on the iPad.</w:t>
      </w:r>
    </w:p>
    <w:p>
      <w:pPr>
        <w:pStyle w:val="ListBullet"/>
      </w:pPr>
      <w:r>
        <w:t>Method &amp; sources is now a button at the top right, beside Scan now, in the same rounded style but lighter (outlined). On a narrow screen it reads Method; on a phone it shows only its book icon.</w:t>
      </w:r>
    </w:p>
    <w:p>
      <w:pPr>
        <w:pStyle w:val="ListBullet"/>
      </w:pPr>
      <w:r>
        <w:t>Ask AI - a round button at the bottom right of every page opens the AI assistant. It is not shown on the assistant's own page or on printouts. Every page now ends with a little extra space so the button never hides its last lines, the button keeps clear of the iPad's home bar, and notices such as the Scan now progress open just above it. With a keyboard, it comes straight after Scan now.</w:t>
      </w:r>
    </w:p>
    <w:p>
      <w:pPr>
        <w:pStyle w:val="ListBullet"/>
      </w:pPr>
      <w:r>
        <w:t>Events map - the Events page now shows, above the list of upcoming events (which is unchanged), a world map of where they take place. Each circle is a city: gold where at least one ISSMGE event is, blue for other events only, with the number of events in it; nearby cities share a circle until you zoom in on a region. Tap a circle, or a country beside the map, to list its events; each one links to its card in the list, which opens just below the filters. On a touch screen, circles too close to tap apart share one circle until you zoom in. The filters above the map (text, kind, region, ISSMGE only) apply to the map too. Events held only online and those the calendar gives no place for yet are counted beside the map, not drawn on it. The Table button lists every country with its events, also for screen readers. A city the map does not know yet is shown in the middle of its country; the list of cities is in events.py (CITY_POINTS).</w:t>
      </w:r>
    </w:p>
    <w:p>
      <w:pPr>
        <w:pStyle w:val="ListBullet"/>
      </w:pPr>
      <w:r>
        <w:t>Site title - the line under Geotechnical News Desk now reads ISSMGE – Magazine Presidential Committee (MPC); on a narrow screen, ISSMGE – MPC. The MPC logo (an open magazine on layers of ground) now stands beside the name, in place of the old magnifier icon; the browser tab keeps its icon.</w:t>
      </w:r>
    </w:p>
    <w:p>
      <w:pPr>
        <w:pStyle w:val="ListBullet"/>
      </w:pPr>
      <w:r>
        <w:t>Phones - ISSMGE – MPC also shows on the narrowest Android phones (Galaxy S8, Moto G4); with a larger font size or zoom set on the phone, the top bar, its menus and the buttons still fit the screen (shorter labels, the name on two lines); and on an iPhone held sideways the top bar keeps clear of the notch.</w:t>
      </w:r>
    </w:p>
    <w:p>
      <w:pPr>
        <w:pStyle w:val="ListBullet"/>
      </w:pPr>
      <w:r>
        <w:t>Also fixed: on a phone, a long error message in the list of failed sources made the Method &amp; sources page slightly wider than the screen.</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61/jggefk.gteng-14539" TargetMode="External"/><Relationship Id="rId11" Type="http://schemas.openxmlformats.org/officeDocument/2006/relationships/hyperlink" Target="https://doi.org/10.1016/j.trgeo.2026.102492" TargetMode="External"/><Relationship Id="rId12" Type="http://schemas.openxmlformats.org/officeDocument/2006/relationships/hyperlink" Target="https://doi.org/10.1016/j.sandf.2026.101888" TargetMode="External"/><Relationship Id="rId13" Type="http://schemas.openxmlformats.org/officeDocument/2006/relationships/hyperlink" Target="https://doi.org/10.1139/cgj-2026-0666" TargetMode="External"/><Relationship Id="rId14" Type="http://schemas.openxmlformats.org/officeDocument/2006/relationships/hyperlink" Target="https://doi.org/10.1016/j.jrmge.2026.08.018" TargetMode="External"/><Relationship Id="rId15" Type="http://schemas.openxmlformats.org/officeDocument/2006/relationships/hyperlink" Target="https://doi.org/10.1061/jggefk.gteng-15822" TargetMode="External"/><Relationship Id="rId16" Type="http://schemas.openxmlformats.org/officeDocument/2006/relationships/hyperlink" Target="https://doi.org/10.1016/j.trgeo.2026.102511" TargetMode="External"/><Relationship Id="rId17" Type="http://schemas.openxmlformats.org/officeDocument/2006/relationships/hyperlink" Target="https://doi.org/10.1016/j.jrmge.2026.09.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