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29 October 2026, 12:07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2026-10-29 (07:53 UTC)</w:t>
            </w:r>
          </w:p>
        </w:tc>
      </w:tr>
      <w:tr>
        <w:tc>
          <w:tcPr>
            <w:tcW w:type="dxa" w:w="4535"/>
            <w:shd w:val="clear" w:color="auto" w:fill="F3F5F7"/>
          </w:tcPr>
          <w:p>
            <w:r/>
            <w:r>
              <w:rPr>
                <w:sz w:val="19"/>
              </w:rPr>
              <w:t>Stories in latest digest</w:t>
            </w:r>
          </w:p>
        </w:tc>
        <w:tc>
          <w:tcPr>
            <w:tcW w:type="dxa" w:w="5102"/>
            <w:shd w:val="clear" w:color="auto" w:fill="F3F5F7"/>
          </w:tcPr>
          <w:p>
            <w:r/>
            <w:r>
              <w:rPr>
                <w:sz w:val="19"/>
              </w:rPr>
              <w:t>38</w:t>
            </w:r>
          </w:p>
        </w:tc>
      </w:tr>
      <w:tr>
        <w:tc>
          <w:tcPr>
            <w:tcW w:type="dxa" w:w="4535"/>
          </w:tcPr>
          <w:p>
            <w:r/>
            <w:r>
              <w:rPr>
                <w:sz w:val="19"/>
              </w:rPr>
              <w:t>New items scanned</w:t>
            </w:r>
          </w:p>
        </w:tc>
        <w:tc>
          <w:tcPr>
            <w:tcW w:type="dxa" w:w="5102"/>
          </w:tcPr>
          <w:p>
            <w:r/>
            <w:r>
              <w:rPr>
                <w:sz w:val="19"/>
              </w:rPr>
              <w:t>779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274</w:t>
            </w:r>
          </w:p>
        </w:tc>
      </w:tr>
      <w:tr>
        <w:tc>
          <w:tcPr>
            <w:tcW w:type="dxa" w:w="4535"/>
            <w:shd w:val="clear" w:color="auto" w:fill="F3F5F7"/>
          </w:tcPr>
          <w:p>
            <w:r/>
            <w:r>
              <w:rPr>
                <w:sz w:val="19"/>
              </w:rPr>
              <w:t>Daily digests archived</w:t>
            </w:r>
          </w:p>
        </w:tc>
        <w:tc>
          <w:tcPr>
            <w:tcW w:type="dxa" w:w="5102"/>
            <w:shd w:val="clear" w:color="auto" w:fill="F3F5F7"/>
          </w:tcPr>
          <w:p>
            <w:r/>
            <w:r>
              <w:rPr>
                <w:sz w:val="19"/>
              </w:rPr>
              <w:t>6</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256 of 274</w:t>
            </w:r>
          </w:p>
        </w:tc>
      </w:tr>
      <w:tr>
        <w:tc>
          <w:tcPr>
            <w:tcW w:type="dxa" w:w="4535"/>
          </w:tcPr>
          <w:p>
            <w:r/>
            <w:r>
              <w:rPr>
                <w:sz w:val="19"/>
              </w:rPr>
              <w:t>Developing stories (two or more reports)</w:t>
            </w:r>
          </w:p>
        </w:tc>
        <w:tc>
          <w:tcPr>
            <w:tcW w:type="dxa" w:w="5102"/>
          </w:tcPr>
          <w:p>
            <w:r/>
            <w:r>
              <w:rPr>
                <w:sz w:val="19"/>
              </w:rPr>
              <w:t>30</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1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 1-5 in two steps (is it truly geotechnical, and how big is it: local or small, national or regional, international or a landmark project),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table of contents that follows the suggested issue layout,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Suggested issue layout: </w:t>
      </w:r>
      <w:r>
        <w:t>a default table of contents for the magazine (16 sections, from the cover story to upcoming events) in config.yaml, saying which sections the scanner feeds and how many items each takes; the issue pages show it and the editors can rename, reorder, add or remove sections.</w:t>
      </w:r>
    </w:p>
    <w:p>
      <w:pPr>
        <w:pStyle w:val="ListBullet"/>
      </w:pPr>
      <w:r>
        <w:rPr>
          <w:b/>
        </w:rPr>
        <w:t xml:space="preserve">Shared planning sheet: </w:t>
      </w:r>
      <w:r>
        <w:t>the AI assistant's Google connector keeps a Google spreadsheet for the editorial team, updated every morning with the stories of the current and previous quarter and an issue plan built from the layout, without ever changing the team's Status, Assigned to and Editor notes.</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 world map of where the events take place,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rated 4 and 5, developing stories, regional coverage, events and research), also kept as web pages.</w:t>
      </w:r>
    </w:p>
    <w:p>
      <w:pPr>
        <w:pStyle w:val="ListBullet"/>
      </w:pPr>
      <w:r>
        <w:rPr>
          <w:b/>
        </w:rPr>
        <w:t xml:space="preserve">Search and AI assistant: </w:t>
      </w:r>
      <w:r>
        <w:t>search every archived story with filters, or ask the AI assistant (the round Ask AI button at the bottom right of every page),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18 of 19 websites were read successfully; 1 failed (see Source health).</w:t>
      </w:r>
    </w:p>
    <w:p>
      <w:pPr>
        <w:spacing w:after="60"/>
      </w:pPr>
      <w:r>
        <w:rPr>
          <w:b/>
          <w:color w:val="1E7B4F"/>
        </w:rPr>
        <w:t xml:space="preserve">✔ </w:t>
      </w:r>
      <w:r>
        <w:t>Theme balance: 8 themes covered; the largest is Hazards &amp; Resilience with 17 of 38 stories (45%).</w:t>
      </w:r>
    </w:p>
    <w:p>
      <w:pPr>
        <w:spacing w:after="60"/>
      </w:pPr>
      <w:r>
        <w:rPr>
          <w:b/>
          <w:color w:val="5B6573"/>
        </w:rPr>
        <w:t xml:space="preserve">• </w:t>
      </w:r>
      <w:r>
        <w:t>33 different outlets contributed; the most frequent was Ground Engineering (3 stories).</w:t>
      </w:r>
    </w:p>
    <w:p>
      <w:pPr>
        <w:spacing w:after="60"/>
      </w:pPr>
      <w:r>
        <w:rPr>
          <w:b/>
          <w:color w:val="5B6573"/>
        </w:rPr>
        <w:t xml:space="preserve">• </w:t>
      </w:r>
      <w:r>
        <w:t>26 stories came from non-English Google News editions.</w:t>
      </w:r>
    </w:p>
    <w:p>
      <w:pPr>
        <w:spacing w:after="60"/>
      </w:pPr>
      <w:r>
        <w:rPr>
          <w:b/>
          <w:color w:val="5B6573"/>
        </w:rPr>
        <w:t xml:space="preserve">• </w:t>
      </w:r>
      <w:r>
        <w:t>17 stories were rated 4 or 5 out of 5.</w:t>
      </w:r>
    </w:p>
    <w:p>
      <w:pPr>
        <w:spacing w:after="60"/>
      </w:pPr>
      <w:r>
        <w:rPr>
          <w:b/>
          <w:color w:val="5B6573"/>
        </w:rPr>
        <w:t xml:space="preserve">• </w:t>
      </w:r>
      <w:r>
        <w:t>34 of the 38 rated stories name a primary source to check the facts with.</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Deep Foundations Institute</w:t>
            </w:r>
          </w:p>
        </w:tc>
        <w:tc>
          <w:tcPr>
            <w:tcW w:type="dxa" w:w="3118"/>
          </w:tcPr>
          <w:p>
            <w:r/>
            <w:r>
              <w:rPr>
                <w:sz w:val="19"/>
              </w:rPr>
              <w:t>HTTPSConnectionPool(host='www.dfi.org', port=443): Max retries exceeded with url: / (Cause</w:t>
            </w:r>
          </w:p>
        </w:tc>
        <w:tc>
          <w:tcPr>
            <w:tcW w:type="dxa" w:w="4252"/>
          </w:tcPr>
          <w:p>
            <w:r/>
            <w:r>
              <w:rPr>
                <w:sz w:val="19"/>
              </w:rPr>
              <w:t>The site did not answer. If it fails again on the next scans, replace or remove it.</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6</w:t>
            </w:r>
          </w:p>
        </w:tc>
        <w:tc>
          <w:tcPr>
            <w:tcW w:type="dxa" w:w="1134"/>
          </w:tcPr>
          <w:p>
            <w:r/>
            <w:r>
              <w:rPr>
                <w:sz w:val="19"/>
              </w:rPr>
              <w:t>274</w:t>
            </w:r>
          </w:p>
        </w:tc>
        <w:tc>
          <w:tcPr>
            <w:tcW w:type="dxa" w:w="1417"/>
          </w:tcPr>
          <w:p>
            <w:r/>
            <w:r>
              <w:rPr>
                <w:sz w:val="19"/>
              </w:rPr>
              <w:t>21</w:t>
            </w:r>
          </w:p>
        </w:tc>
        <w:tc>
          <w:tcPr>
            <w:tcW w:type="dxa" w:w="1701"/>
          </w:tcPr>
          <w:p>
            <w:r/>
            <w:r>
              <w:rPr>
                <w:sz w:val="19"/>
              </w:rPr>
              <w:t>99</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5</w:t>
            </w:r>
          </w:p>
        </w:tc>
        <w:tc>
          <w:tcPr>
            <w:tcW w:type="dxa" w:w="1417"/>
          </w:tcPr>
          <w:p>
            <w:r/>
            <w:r>
              <w:rPr>
                <w:sz w:val="19"/>
              </w:rPr>
              <w:t>2%</w:t>
            </w:r>
          </w:p>
        </w:tc>
        <w:tc>
          <w:tcPr>
            <w:tcW w:type="dxa" w:w="1701"/>
          </w:tcPr>
          <w:p>
            <w:r/>
            <w:r>
              <w:rPr>
                <w:sz w:val="19"/>
              </w:rPr>
              <w:t>1</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9</w:t>
            </w:r>
          </w:p>
        </w:tc>
        <w:tc>
          <w:tcPr>
            <w:tcW w:type="dxa" w:w="1417"/>
            <w:shd w:val="clear" w:color="auto" w:fill="F3F5F7"/>
          </w:tcPr>
          <w:p>
            <w:r/>
            <w:r>
              <w:rPr>
                <w:sz w:val="19"/>
              </w:rPr>
              <w:t>3%</w:t>
            </w:r>
          </w:p>
        </w:tc>
        <w:tc>
          <w:tcPr>
            <w:tcW w:type="dxa" w:w="1701"/>
            <w:shd w:val="clear" w:color="auto" w:fill="F3F5F7"/>
          </w:tcPr>
          <w:p>
            <w:r/>
            <w:r>
              <w:rPr>
                <w:sz w:val="19"/>
              </w:rPr>
              <w:t>5</w:t>
            </w:r>
          </w:p>
        </w:tc>
      </w:tr>
      <w:tr>
        <w:tc>
          <w:tcPr>
            <w:tcW w:type="dxa" w:w="4535"/>
            <w:shd w:val="clear" w:color="auto" w:fill="FAE5DF"/>
          </w:tcPr>
          <w:p>
            <w:r/>
            <w:r>
              <w:rPr>
                <w:b/>
                <w:color w:val="E04F2C"/>
                <w:sz w:val="19"/>
              </w:rPr>
              <w:t>Hazards &amp; Resilience</w:t>
            </w:r>
          </w:p>
        </w:tc>
        <w:tc>
          <w:tcPr>
            <w:tcW w:type="dxa" w:w="1417"/>
          </w:tcPr>
          <w:p>
            <w:r/>
            <w:r>
              <w:rPr>
                <w:sz w:val="19"/>
              </w:rPr>
              <w:t>106</w:t>
            </w:r>
          </w:p>
        </w:tc>
        <w:tc>
          <w:tcPr>
            <w:tcW w:type="dxa" w:w="1417"/>
          </w:tcPr>
          <w:p>
            <w:r/>
            <w:r>
              <w:rPr>
                <w:sz w:val="19"/>
              </w:rPr>
              <w:t>39%</w:t>
            </w:r>
          </w:p>
        </w:tc>
        <w:tc>
          <w:tcPr>
            <w:tcW w:type="dxa" w:w="1701"/>
          </w:tcPr>
          <w:p>
            <w:r/>
            <w:r>
              <w:rPr>
                <w:sz w:val="19"/>
              </w:rPr>
              <w:t>89</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6</w:t>
            </w:r>
          </w:p>
        </w:tc>
        <w:tc>
          <w:tcPr>
            <w:tcW w:type="dxa" w:w="1417"/>
            <w:shd w:val="clear" w:color="auto" w:fill="F3F5F7"/>
          </w:tcPr>
          <w:p>
            <w:r/>
            <w:r>
              <w:rPr>
                <w:sz w:val="19"/>
              </w:rPr>
              <w:t>2%</w:t>
            </w:r>
          </w:p>
        </w:tc>
        <w:tc>
          <w:tcPr>
            <w:tcW w:type="dxa" w:w="1701"/>
            <w:shd w:val="clear" w:color="auto" w:fill="F3F5F7"/>
          </w:tcPr>
          <w:p>
            <w:r/>
            <w:r>
              <w:rPr>
                <w:sz w:val="19"/>
              </w:rPr>
              <w:t>5</w:t>
            </w:r>
          </w:p>
        </w:tc>
      </w:tr>
      <w:tr>
        <w:tc>
          <w:tcPr>
            <w:tcW w:type="dxa" w:w="4535"/>
            <w:shd w:val="clear" w:color="auto" w:fill="DEE8F9"/>
          </w:tcPr>
          <w:p>
            <w:r/>
            <w:r>
              <w:rPr>
                <w:b/>
                <w:color w:val="2563D6"/>
                <w:sz w:val="19"/>
              </w:rPr>
              <w:t>Infrastructure &amp; the Underground City</w:t>
            </w:r>
          </w:p>
        </w:tc>
        <w:tc>
          <w:tcPr>
            <w:tcW w:type="dxa" w:w="1417"/>
          </w:tcPr>
          <w:p>
            <w:r/>
            <w:r>
              <w:rPr>
                <w:sz w:val="19"/>
              </w:rPr>
              <w:t>98</w:t>
            </w:r>
          </w:p>
        </w:tc>
        <w:tc>
          <w:tcPr>
            <w:tcW w:type="dxa" w:w="1417"/>
          </w:tcPr>
          <w:p>
            <w:r/>
            <w:r>
              <w:rPr>
                <w:sz w:val="19"/>
              </w:rPr>
              <w:t>36%</w:t>
            </w:r>
          </w:p>
        </w:tc>
        <w:tc>
          <w:tcPr>
            <w:tcW w:type="dxa" w:w="1701"/>
          </w:tcPr>
          <w:p>
            <w:r/>
            <w:r>
              <w:rPr>
                <w:sz w:val="19"/>
              </w:rPr>
              <w:t>42</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25</w:t>
            </w:r>
          </w:p>
        </w:tc>
        <w:tc>
          <w:tcPr>
            <w:tcW w:type="dxa" w:w="1417"/>
            <w:shd w:val="clear" w:color="auto" w:fill="F3F5F7"/>
          </w:tcPr>
          <w:p>
            <w:r/>
            <w:r>
              <w:rPr>
                <w:sz w:val="19"/>
              </w:rPr>
              <w:t>9%</w:t>
            </w:r>
          </w:p>
        </w:tc>
        <w:tc>
          <w:tcPr>
            <w:tcW w:type="dxa" w:w="1701"/>
            <w:shd w:val="clear" w:color="auto" w:fill="F3F5F7"/>
          </w:tcPr>
          <w:p>
            <w:r/>
            <w:r>
              <w:rPr>
                <w:sz w:val="19"/>
              </w:rPr>
              <w:t>14</w:t>
            </w:r>
          </w:p>
        </w:tc>
      </w:tr>
      <w:tr>
        <w:tc>
          <w:tcPr>
            <w:tcW w:type="dxa" w:w="4535"/>
            <w:shd w:val="clear" w:color="auto" w:fill="F6E2EB"/>
          </w:tcPr>
          <w:p>
            <w:r/>
            <w:r>
              <w:rPr>
                <w:b/>
                <w:color w:val="C23D7B"/>
                <w:sz w:val="19"/>
              </w:rPr>
              <w:t>Characterisation &amp; Modelling</w:t>
            </w:r>
          </w:p>
        </w:tc>
        <w:tc>
          <w:tcPr>
            <w:tcW w:type="dxa" w:w="1417"/>
          </w:tcPr>
          <w:p>
            <w:r/>
            <w:r>
              <w:rPr>
                <w:sz w:val="19"/>
              </w:rPr>
              <w:t>17</w:t>
            </w:r>
          </w:p>
        </w:tc>
        <w:tc>
          <w:tcPr>
            <w:tcW w:type="dxa" w:w="1417"/>
          </w:tcPr>
          <w:p>
            <w:r/>
            <w:r>
              <w:rPr>
                <w:sz w:val="19"/>
              </w:rPr>
              <w:t>6%</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8</w:t>
            </w:r>
          </w:p>
        </w:tc>
        <w:tc>
          <w:tcPr>
            <w:tcW w:type="dxa" w:w="1417"/>
            <w:shd w:val="clear" w:color="auto" w:fill="F3F5F7"/>
          </w:tcPr>
          <w:p>
            <w:r/>
            <w:r>
              <w:rPr>
                <w:sz w:val="19"/>
              </w:rPr>
              <w:t>3%</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256 of 274 stories are located in a country of one of ISSMGE's six regions; 18 are global or about several countries and 0 have no location yet. 29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4</w:t>
            </w:r>
          </w:p>
        </w:tc>
        <w:tc>
          <w:tcPr>
            <w:tcW w:type="dxa" w:w="1814"/>
          </w:tcPr>
          <w:p>
            <w:r/>
            <w:r>
              <w:rPr>
                <w:sz w:val="19"/>
              </w:rPr>
              <w:t>3 of 8</w:t>
            </w:r>
          </w:p>
        </w:tc>
        <w:tc>
          <w:tcPr>
            <w:tcW w:type="dxa" w:w="4989"/>
          </w:tcPr>
          <w:p>
            <w:r/>
            <w:r>
              <w:rPr>
                <w:sz w:val="19"/>
              </w:rPr>
              <w:t>Morocco, Nigeria, Tunisia, Zambia, Zimbabwe</w:t>
            </w:r>
          </w:p>
        </w:tc>
      </w:tr>
      <w:tr>
        <w:tc>
          <w:tcPr>
            <w:tcW w:type="dxa" w:w="1814"/>
            <w:shd w:val="clear" w:color="auto" w:fill="F3F5F7"/>
          </w:tcPr>
          <w:p>
            <w:r/>
            <w:r>
              <w:rPr>
                <w:sz w:val="19"/>
              </w:rPr>
              <w:t>Asia</w:t>
            </w:r>
          </w:p>
        </w:tc>
        <w:tc>
          <w:tcPr>
            <w:tcW w:type="dxa" w:w="1020"/>
            <w:shd w:val="clear" w:color="auto" w:fill="F3F5F7"/>
          </w:tcPr>
          <w:p>
            <w:r/>
            <w:r>
              <w:rPr>
                <w:sz w:val="19"/>
              </w:rPr>
              <w:t>105</w:t>
            </w:r>
          </w:p>
        </w:tc>
        <w:tc>
          <w:tcPr>
            <w:tcW w:type="dxa" w:w="1814"/>
            <w:shd w:val="clear" w:color="auto" w:fill="F3F5F7"/>
          </w:tcPr>
          <w:p>
            <w:r/>
            <w:r>
              <w:rPr>
                <w:sz w:val="19"/>
              </w:rPr>
              <w:t>7 of 26</w:t>
            </w:r>
          </w:p>
        </w:tc>
        <w:tc>
          <w:tcPr>
            <w:tcW w:type="dxa" w:w="4989"/>
            <w:shd w:val="clear" w:color="auto" w:fill="F3F5F7"/>
          </w:tcPr>
          <w:p>
            <w:r/>
            <w:r>
              <w:rPr>
                <w:sz w:val="19"/>
              </w:rPr>
              <w:t>Bangladesh,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3</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43</w:t>
            </w:r>
          </w:p>
        </w:tc>
        <w:tc>
          <w:tcPr>
            <w:tcW w:type="dxa" w:w="1814"/>
            <w:shd w:val="clear" w:color="auto" w:fill="F3F5F7"/>
          </w:tcPr>
          <w:p>
            <w:r/>
            <w:r>
              <w:rPr>
                <w:sz w:val="19"/>
              </w:rPr>
              <w:t>10 of 37</w:t>
            </w:r>
          </w:p>
        </w:tc>
        <w:tc>
          <w:tcPr>
            <w:tcW w:type="dxa" w:w="4989"/>
            <w:shd w:val="clear" w:color="auto" w:fill="F3F5F7"/>
          </w:tcPr>
          <w:p>
            <w:r/>
            <w:r>
              <w:rPr>
                <w:sz w:val="19"/>
              </w:rPr>
              <w:t>Austria, Belgium, Bosnia and Herzegovina, Bulgaria, Croatia, Cyprus, Czechia, Estonia, Finland, Georgia, Germany, Greece, Hungary, Iceland, Ireland, Israel, Latvia, Lithuania, Netherlands, North Macedonia, Norway, Portugal, Serbia, Slovakia, Slovenia, Sweden, Switzerland</w:t>
            </w:r>
          </w:p>
        </w:tc>
      </w:tr>
      <w:tr>
        <w:tc>
          <w:tcPr>
            <w:tcW w:type="dxa" w:w="1814"/>
          </w:tcPr>
          <w:p>
            <w:r/>
            <w:r>
              <w:rPr>
                <w:sz w:val="19"/>
              </w:rPr>
              <w:t>North America</w:t>
            </w:r>
          </w:p>
        </w:tc>
        <w:tc>
          <w:tcPr>
            <w:tcW w:type="dxa" w:w="1020"/>
          </w:tcPr>
          <w:p>
            <w:r/>
            <w:r>
              <w:rPr>
                <w:sz w:val="19"/>
              </w:rPr>
              <w:t>51</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50</w:t>
            </w:r>
          </w:p>
        </w:tc>
        <w:tc>
          <w:tcPr>
            <w:tcW w:type="dxa" w:w="1814"/>
            <w:shd w:val="clear" w:color="auto" w:fill="F3F5F7"/>
          </w:tcPr>
          <w:p>
            <w:r/>
            <w:r>
              <w:rPr>
                <w:sz w:val="19"/>
              </w:rPr>
              <w:t>5 of 11</w:t>
            </w:r>
          </w:p>
        </w:tc>
        <w:tc>
          <w:tcPr>
            <w:tcW w:type="dxa" w:w="4989"/>
            <w:shd w:val="clear" w:color="auto" w:fill="F3F5F7"/>
          </w:tcPr>
          <w:p>
            <w:r/>
            <w:r>
              <w:rPr>
                <w:sz w:val="19"/>
              </w:rPr>
              <w:t>Bolivia, Costa Rica, Cuba, Guatemala, Paraguay,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30 developing stories link 84 reports; 30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Paya Terubong landslide, Penang, Malaysia (Oct 2026)</w:t>
            </w:r>
          </w:p>
        </w:tc>
        <w:tc>
          <w:tcPr>
            <w:tcW w:type="dxa" w:w="1928"/>
          </w:tcPr>
          <w:p>
            <w:r/>
            <w:r>
              <w:rPr>
                <w:sz w:val="19"/>
              </w:rPr>
              <w:t>Paya Terubong, Penang, Malaysia</w:t>
            </w:r>
          </w:p>
        </w:tc>
        <w:tc>
          <w:tcPr>
            <w:tcW w:type="dxa" w:w="907"/>
          </w:tcPr>
          <w:p>
            <w:r/>
            <w:r>
              <w:rPr>
                <w:sz w:val="19"/>
              </w:rPr>
              <w:t>9</w:t>
            </w:r>
          </w:p>
        </w:tc>
        <w:tc>
          <w:tcPr>
            <w:tcW w:type="dxa" w:w="1191"/>
          </w:tcPr>
          <w:p>
            <w:r/>
            <w:r>
              <w:rPr>
                <w:sz w:val="19"/>
              </w:rPr>
              <w:t>25 Oct 2026</w:t>
            </w:r>
          </w:p>
        </w:tc>
        <w:tc>
          <w:tcPr>
            <w:tcW w:type="dxa" w:w="1191"/>
          </w:tcPr>
          <w:p>
            <w:r/>
            <w:r>
              <w:rPr>
                <w:sz w:val="19"/>
              </w:rPr>
              <w:t>27 Oct 2026</w:t>
            </w:r>
          </w:p>
        </w:tc>
        <w:tc>
          <w:tcPr>
            <w:tcW w:type="dxa" w:w="1361"/>
          </w:tcPr>
          <w:p>
            <w:r/>
            <w:r>
              <w:rPr>
                <w:sz w:val="19"/>
              </w:rPr>
              <w:t>Response &amp; recovery</w:t>
            </w:r>
          </w:p>
        </w:tc>
      </w:tr>
      <w:tr>
        <w:tc>
          <w:tcPr>
            <w:tcW w:type="dxa" w:w="3061"/>
            <w:shd w:val="clear" w:color="auto" w:fill="F3F5F7"/>
          </w:tcPr>
          <w:p>
            <w:r/>
            <w:r>
              <w:rPr>
                <w:sz w:val="19"/>
              </w:rPr>
              <w:t>Canadian permafrost landslide study (Oct 2026)</w:t>
            </w:r>
          </w:p>
        </w:tc>
        <w:tc>
          <w:tcPr>
            <w:tcW w:type="dxa" w:w="1928"/>
            <w:shd w:val="clear" w:color="auto" w:fill="F3F5F7"/>
          </w:tcPr>
          <w:p>
            <w:r/>
            <w:r>
              <w:rPr>
                <w:sz w:val="19"/>
              </w:rPr>
              <w:t>Canada</w:t>
            </w:r>
          </w:p>
        </w:tc>
        <w:tc>
          <w:tcPr>
            <w:tcW w:type="dxa" w:w="907"/>
            <w:shd w:val="clear" w:color="auto" w:fill="F3F5F7"/>
          </w:tcPr>
          <w:p>
            <w:r/>
            <w:r>
              <w:rPr>
                <w:sz w:val="19"/>
              </w:rPr>
              <w:t>5</w:t>
            </w:r>
          </w:p>
        </w:tc>
        <w:tc>
          <w:tcPr>
            <w:tcW w:type="dxa" w:w="1191"/>
            <w:shd w:val="clear" w:color="auto" w:fill="F3F5F7"/>
          </w:tcPr>
          <w:p>
            <w:r/>
            <w:r>
              <w:rPr>
                <w:sz w:val="19"/>
              </w:rPr>
              <w:t>26 Oct 2026</w:t>
            </w:r>
          </w:p>
        </w:tc>
        <w:tc>
          <w:tcPr>
            <w:tcW w:type="dxa" w:w="1191"/>
            <w:shd w:val="clear" w:color="auto" w:fill="F3F5F7"/>
          </w:tcPr>
          <w:p>
            <w:r/>
            <w:r>
              <w:rPr>
                <w:sz w:val="19"/>
              </w:rPr>
              <w:t>28 Oct 2026</w:t>
            </w:r>
          </w:p>
        </w:tc>
        <w:tc>
          <w:tcPr>
            <w:tcW w:type="dxa" w:w="1361"/>
            <w:shd w:val="clear" w:color="auto" w:fill="F3F5F7"/>
          </w:tcPr>
          <w:p>
            <w:r/>
            <w:r>
              <w:rPr>
                <w:sz w:val="19"/>
              </w:rPr>
              <w:t>Investigation &amp; inquiry</w:t>
            </w:r>
          </w:p>
        </w:tc>
      </w:tr>
      <w:tr>
        <w:tc>
          <w:tcPr>
            <w:tcW w:type="dxa" w:w="3061"/>
          </w:tcPr>
          <w:p>
            <w:r/>
            <w:r>
              <w:rPr>
                <w:sz w:val="19"/>
              </w:rPr>
              <w:t>Mazatlán malecón wave sinkhole, Mexico (Oct 2026)</w:t>
            </w:r>
          </w:p>
        </w:tc>
        <w:tc>
          <w:tcPr>
            <w:tcW w:type="dxa" w:w="1928"/>
          </w:tcPr>
          <w:p>
            <w:r/>
            <w:r>
              <w:rPr>
                <w:sz w:val="19"/>
              </w:rPr>
              <w:t>Monumento a la Mujer Mazatleca, Mazatlán, Mexico</w:t>
            </w:r>
          </w:p>
        </w:tc>
        <w:tc>
          <w:tcPr>
            <w:tcW w:type="dxa" w:w="907"/>
          </w:tcPr>
          <w:p>
            <w:r/>
            <w:r>
              <w:rPr>
                <w:sz w:val="19"/>
              </w:rPr>
              <w:t>5</w:t>
            </w:r>
          </w:p>
        </w:tc>
        <w:tc>
          <w:tcPr>
            <w:tcW w:type="dxa" w:w="1191"/>
          </w:tcPr>
          <w:p>
            <w:r/>
            <w:r>
              <w:rPr>
                <w:sz w:val="19"/>
              </w:rPr>
              <w:t>23 Oct 2026</w:t>
            </w:r>
          </w:p>
        </w:tc>
        <w:tc>
          <w:tcPr>
            <w:tcW w:type="dxa" w:w="1191"/>
          </w:tcPr>
          <w:p>
            <w:r/>
            <w:r>
              <w:rPr>
                <w:sz w:val="19"/>
              </w:rPr>
              <w:t>26 Oct 2026</w:t>
            </w:r>
          </w:p>
        </w:tc>
        <w:tc>
          <w:tcPr>
            <w:tcW w:type="dxa" w:w="1361"/>
          </w:tcPr>
          <w:p>
            <w:r/>
            <w:r>
              <w:rPr>
                <w:sz w:val="19"/>
              </w:rPr>
              <w:t>Investigation &amp; inquiry</w:t>
            </w:r>
          </w:p>
        </w:tc>
      </w:tr>
      <w:tr>
        <w:tc>
          <w:tcPr>
            <w:tcW w:type="dxa" w:w="3061"/>
            <w:shd w:val="clear" w:color="auto" w:fill="F3F5F7"/>
          </w:tcPr>
          <w:p>
            <w:r/>
            <w:r>
              <w:rPr>
                <w:sz w:val="19"/>
              </w:rPr>
              <w:t>Phong Nha-Ke Bang 120 m sinkhole discovery, Vietnam</w:t>
            </w:r>
          </w:p>
        </w:tc>
        <w:tc>
          <w:tcPr>
            <w:tcW w:type="dxa" w:w="1928"/>
            <w:shd w:val="clear" w:color="auto" w:fill="F3F5F7"/>
          </w:tcPr>
          <w:p>
            <w:r/>
            <w:r>
              <w:rPr>
                <w:sz w:val="19"/>
              </w:rPr>
              <w:t>Phong Nha-Ke Bang, Vietnam</w:t>
            </w:r>
          </w:p>
        </w:tc>
        <w:tc>
          <w:tcPr>
            <w:tcW w:type="dxa" w:w="907"/>
            <w:shd w:val="clear" w:color="auto" w:fill="F3F5F7"/>
          </w:tcPr>
          <w:p>
            <w:r/>
            <w:r>
              <w:rPr>
                <w:sz w:val="19"/>
              </w:rPr>
              <w:t>5</w:t>
            </w:r>
          </w:p>
        </w:tc>
        <w:tc>
          <w:tcPr>
            <w:tcW w:type="dxa" w:w="1191"/>
            <w:shd w:val="clear" w:color="auto" w:fill="F3F5F7"/>
          </w:tcPr>
          <w:p>
            <w:r/>
            <w:r>
              <w:rPr>
                <w:sz w:val="19"/>
              </w:rPr>
              <w:t>22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r>
        <w:tc>
          <w:tcPr>
            <w:tcW w:type="dxa" w:w="3061"/>
          </w:tcPr>
          <w:p>
            <w:r/>
            <w:r>
              <w:rPr>
                <w:sz w:val="19"/>
              </w:rPr>
              <w:t>Kumamoto earthquake re-liquefaction study, Japan</w:t>
            </w:r>
          </w:p>
        </w:tc>
        <w:tc>
          <w:tcPr>
            <w:tcW w:type="dxa" w:w="1928"/>
          </w:tcPr>
          <w:p>
            <w:r/>
            <w:r>
              <w:rPr>
                <w:sz w:val="19"/>
              </w:rPr>
              <w:t>Kumamoto Prefecture, Japan</w:t>
            </w:r>
          </w:p>
        </w:tc>
        <w:tc>
          <w:tcPr>
            <w:tcW w:type="dxa" w:w="907"/>
          </w:tcPr>
          <w:p>
            <w:r/>
            <w:r>
              <w:rPr>
                <w:sz w:val="19"/>
              </w:rPr>
              <w:t>5</w:t>
            </w:r>
          </w:p>
        </w:tc>
        <w:tc>
          <w:tcPr>
            <w:tcW w:type="dxa" w:w="1191"/>
          </w:tcPr>
          <w:p>
            <w:r/>
            <w:r>
              <w:rPr>
                <w:sz w:val="19"/>
              </w:rPr>
              <w:t>25 Oct 2026</w:t>
            </w:r>
          </w:p>
        </w:tc>
        <w:tc>
          <w:tcPr>
            <w:tcW w:type="dxa" w:w="1191"/>
          </w:tcPr>
          <w:p>
            <w:r/>
            <w:r>
              <w:rPr>
                <w:sz w:val="19"/>
              </w:rPr>
              <w:t>26 Oct 2026</w:t>
            </w:r>
          </w:p>
        </w:tc>
        <w:tc>
          <w:tcPr>
            <w:tcW w:type="dxa" w:w="1361"/>
          </w:tcPr>
          <w:p>
            <w:r/>
            <w:r>
              <w:rPr>
                <w:sz w:val="19"/>
              </w:rPr>
              <w:t>Investigation &amp; inquiry</w:t>
            </w:r>
          </w:p>
        </w:tc>
      </w:tr>
      <w:tr>
        <w:tc>
          <w:tcPr>
            <w:tcW w:type="dxa" w:w="3061"/>
            <w:shd w:val="clear" w:color="auto" w:fill="F3F5F7"/>
          </w:tcPr>
          <w:p>
            <w:r/>
            <w:r>
              <w:rPr>
                <w:sz w:val="19"/>
              </w:rPr>
              <w:t>Senapred declares Red Alert in the Metropolitan Region: the 10 commun… (Oct 2026)</w:t>
            </w:r>
          </w:p>
        </w:tc>
        <w:tc>
          <w:tcPr>
            <w:tcW w:type="dxa" w:w="1928"/>
            <w:shd w:val="clear" w:color="auto" w:fill="F3F5F7"/>
          </w:tcPr>
          <w:p>
            <w:r/>
            <w:r>
              <w:rPr>
                <w:sz w:val="19"/>
              </w:rPr>
              <w:t>Región Metropolitana, Santiago, Chile</w:t>
            </w:r>
          </w:p>
        </w:tc>
        <w:tc>
          <w:tcPr>
            <w:tcW w:type="dxa" w:w="907"/>
            <w:shd w:val="clear" w:color="auto" w:fill="F3F5F7"/>
          </w:tcPr>
          <w:p>
            <w:r/>
            <w:r>
              <w:rPr>
                <w:sz w:val="19"/>
              </w:rPr>
              <w:t>4</w:t>
            </w:r>
          </w:p>
        </w:tc>
        <w:tc>
          <w:tcPr>
            <w:tcW w:type="dxa" w:w="1191"/>
            <w:shd w:val="clear" w:color="auto" w:fill="F3F5F7"/>
          </w:tcPr>
          <w:p>
            <w:r/>
            <w:r>
              <w:rPr>
                <w:sz w:val="19"/>
              </w:rPr>
              <w:t>26 Oct 2026</w:t>
            </w:r>
          </w:p>
        </w:tc>
        <w:tc>
          <w:tcPr>
            <w:tcW w:type="dxa" w:w="1191"/>
            <w:shd w:val="clear" w:color="auto" w:fill="F3F5F7"/>
          </w:tcPr>
          <w:p>
            <w:r/>
            <w:r>
              <w:rPr>
                <w:sz w:val="19"/>
              </w:rPr>
              <w:t>28 Oct 2026</w:t>
            </w:r>
          </w:p>
        </w:tc>
        <w:tc>
          <w:tcPr>
            <w:tcW w:type="dxa" w:w="1361"/>
            <w:shd w:val="clear" w:color="auto" w:fill="F3F5F7"/>
          </w:tcPr>
          <w:p>
            <w:r/>
            <w:r>
              <w:rPr>
                <w:sz w:val="19"/>
              </w:rPr>
              <w:t>Response &amp; recovery</w:t>
            </w:r>
          </w:p>
        </w:tc>
      </w:tr>
      <w:tr>
        <w:tc>
          <w:tcPr>
            <w:tcW w:type="dxa" w:w="3061"/>
          </w:tcPr>
          <w:p>
            <w:r/>
            <w:r>
              <w:rPr>
                <w:sz w:val="19"/>
              </w:rPr>
              <w:t>Prenn Pass slope collapses, Da Lat, Vietnam</w:t>
            </w:r>
          </w:p>
        </w:tc>
        <w:tc>
          <w:tcPr>
            <w:tcW w:type="dxa" w:w="1928"/>
          </w:tcPr>
          <w:p>
            <w:r/>
            <w:r>
              <w:rPr>
                <w:sz w:val="19"/>
              </w:rPr>
              <w:t>Prenn Pass, Da Lat, Vietnam</w:t>
            </w:r>
          </w:p>
        </w:tc>
        <w:tc>
          <w:tcPr>
            <w:tcW w:type="dxa" w:w="907"/>
          </w:tcPr>
          <w:p>
            <w:r/>
            <w:r>
              <w:rPr>
                <w:sz w:val="19"/>
              </w:rPr>
              <w:t>3</w:t>
            </w:r>
          </w:p>
        </w:tc>
        <w:tc>
          <w:tcPr>
            <w:tcW w:type="dxa" w:w="1191"/>
          </w:tcPr>
          <w:p>
            <w:r/>
            <w:r>
              <w:rPr>
                <w:sz w:val="19"/>
              </w:rPr>
              <w:t>27 Oct 2026</w:t>
            </w:r>
          </w:p>
        </w:tc>
        <w:tc>
          <w:tcPr>
            <w:tcW w:type="dxa" w:w="1191"/>
          </w:tcPr>
          <w:p>
            <w:r/>
            <w:r>
              <w:rPr>
                <w:sz w:val="19"/>
              </w:rPr>
              <w:t>29 Oct 2026</w:t>
            </w:r>
          </w:p>
        </w:tc>
        <w:tc>
          <w:tcPr>
            <w:tcW w:type="dxa" w:w="1361"/>
          </w:tcPr>
          <w:p>
            <w:r/>
            <w:r>
              <w:rPr>
                <w:sz w:val="19"/>
              </w:rPr>
              <w:t>Repair &amp; reconstruction</w:t>
            </w:r>
          </w:p>
        </w:tc>
      </w:tr>
      <w:tr>
        <w:tc>
          <w:tcPr>
            <w:tcW w:type="dxa" w:w="3061"/>
            <w:shd w:val="clear" w:color="auto" w:fill="F3F5F7"/>
          </w:tcPr>
          <w:p>
            <w:r/>
            <w:r>
              <w:rPr>
                <w:sz w:val="19"/>
              </w:rPr>
              <w:t>Occidental Cozumel hotel sinkhole, Mexico (Oct 2026)</w:t>
            </w:r>
          </w:p>
        </w:tc>
        <w:tc>
          <w:tcPr>
            <w:tcW w:type="dxa" w:w="1928"/>
            <w:shd w:val="clear" w:color="auto" w:fill="F3F5F7"/>
          </w:tcPr>
          <w:p>
            <w:r/>
            <w:r>
              <w:rPr>
                <w:sz w:val="19"/>
              </w:rPr>
              <w:t>Cozumel, Quintana Roo, Mexico</w:t>
            </w:r>
          </w:p>
        </w:tc>
        <w:tc>
          <w:tcPr>
            <w:tcW w:type="dxa" w:w="907"/>
            <w:shd w:val="clear" w:color="auto" w:fill="F3F5F7"/>
          </w:tcPr>
          <w:p>
            <w:r/>
            <w:r>
              <w:rPr>
                <w:sz w:val="19"/>
              </w:rPr>
              <w:t>3</w:t>
            </w:r>
          </w:p>
        </w:tc>
        <w:tc>
          <w:tcPr>
            <w:tcW w:type="dxa" w:w="1191"/>
            <w:shd w:val="clear" w:color="auto" w:fill="F3F5F7"/>
          </w:tcPr>
          <w:p>
            <w:r/>
            <w:r>
              <w:rPr>
                <w:sz w:val="19"/>
              </w:rPr>
              <w:t>24 Oct 2026</w:t>
            </w:r>
          </w:p>
        </w:tc>
        <w:tc>
          <w:tcPr>
            <w:tcW w:type="dxa" w:w="1191"/>
            <w:shd w:val="clear" w:color="auto" w:fill="F3F5F7"/>
          </w:tcPr>
          <w:p>
            <w:r/>
            <w:r>
              <w:rPr>
                <w:sz w:val="19"/>
              </w:rPr>
              <w:t>25 Oct 2026</w:t>
            </w:r>
          </w:p>
        </w:tc>
        <w:tc>
          <w:tcPr>
            <w:tcW w:type="dxa" w:w="1361"/>
            <w:shd w:val="clear" w:color="auto" w:fill="F3F5F7"/>
          </w:tcPr>
          <w:p>
            <w:r/>
            <w:r>
              <w:rPr>
                <w:sz w:val="19"/>
              </w:rPr>
              <w:t>Event</w:t>
            </w:r>
          </w:p>
        </w:tc>
      </w:tr>
      <w:tr>
        <w:tc>
          <w:tcPr>
            <w:tcW w:type="dxa" w:w="3061"/>
          </w:tcPr>
          <w:p>
            <w:r/>
            <w:r>
              <w:rPr>
                <w:sz w:val="19"/>
              </w:rPr>
              <w:t>AI landslide early warning, Vietnam</w:t>
            </w:r>
          </w:p>
        </w:tc>
        <w:tc>
          <w:tcPr>
            <w:tcW w:type="dxa" w:w="1928"/>
          </w:tcPr>
          <w:p>
            <w:r/>
            <w:r>
              <w:rPr>
                <w:sz w:val="19"/>
              </w:rPr>
              <w:t>Vietnam</w:t>
            </w:r>
          </w:p>
        </w:tc>
        <w:tc>
          <w:tcPr>
            <w:tcW w:type="dxa" w:w="907"/>
          </w:tcPr>
          <w:p>
            <w:r/>
            <w:r>
              <w:rPr>
                <w:sz w:val="19"/>
              </w:rPr>
              <w:t>3</w:t>
            </w:r>
          </w:p>
        </w:tc>
        <w:tc>
          <w:tcPr>
            <w:tcW w:type="dxa" w:w="1191"/>
          </w:tcPr>
          <w:p>
            <w:r/>
            <w:r>
              <w:rPr>
                <w:sz w:val="19"/>
              </w:rPr>
              <w:t>24 Oct 2026</w:t>
            </w:r>
          </w:p>
        </w:tc>
        <w:tc>
          <w:tcPr>
            <w:tcW w:type="dxa" w:w="1191"/>
          </w:tcPr>
          <w:p>
            <w:r/>
            <w:r>
              <w:rPr>
                <w:sz w:val="19"/>
              </w:rPr>
              <w:t>24 Oct 2026</w:t>
            </w:r>
          </w:p>
        </w:tc>
        <w:tc>
          <w:tcPr>
            <w:tcW w:type="dxa" w:w="1361"/>
          </w:tcPr>
          <w:p>
            <w:r/>
            <w:r>
              <w:rPr>
                <w:sz w:val="19"/>
              </w:rPr>
              <w:t>Update</w:t>
            </w:r>
          </w:p>
        </w:tc>
      </w:tr>
      <w:tr>
        <w:tc>
          <w:tcPr>
            <w:tcW w:type="dxa" w:w="3061"/>
            <w:shd w:val="clear" w:color="auto" w:fill="F3F5F7"/>
          </w:tcPr>
          <w:p>
            <w:r/>
            <w:r>
              <w:rPr>
                <w:sz w:val="19"/>
              </w:rPr>
              <w:t>Shuvalovsky Avenue metro shaft, St Petersburg</w:t>
            </w:r>
          </w:p>
        </w:tc>
        <w:tc>
          <w:tcPr>
            <w:tcW w:type="dxa" w:w="1928"/>
            <w:shd w:val="clear" w:color="auto" w:fill="F3F5F7"/>
          </w:tcPr>
          <w:p>
            <w:r/>
            <w:r>
              <w:rPr>
                <w:sz w:val="19"/>
              </w:rPr>
              <w:t>Shuvalovsky Avenue, St Petersburg, Russia</w:t>
            </w:r>
          </w:p>
        </w:tc>
        <w:tc>
          <w:tcPr>
            <w:tcW w:type="dxa" w:w="907"/>
            <w:shd w:val="clear" w:color="auto" w:fill="F3F5F7"/>
          </w:tcPr>
          <w:p>
            <w:r/>
            <w:r>
              <w:rPr>
                <w:sz w:val="19"/>
              </w:rPr>
              <w:t>2</w:t>
            </w:r>
          </w:p>
        </w:tc>
        <w:tc>
          <w:tcPr>
            <w:tcW w:type="dxa" w:w="1191"/>
            <w:shd w:val="clear" w:color="auto" w:fill="F3F5F7"/>
          </w:tcPr>
          <w:p>
            <w:r/>
            <w:r>
              <w:rPr>
                <w:sz w:val="19"/>
              </w:rPr>
              <w:t>28 Oct 2026</w:t>
            </w:r>
          </w:p>
        </w:tc>
        <w:tc>
          <w:tcPr>
            <w:tcW w:type="dxa" w:w="1191"/>
            <w:shd w:val="clear" w:color="auto" w:fill="F3F5F7"/>
          </w:tcPr>
          <w:p>
            <w:r/>
            <w:r>
              <w:rPr>
                <w:sz w:val="19"/>
              </w:rPr>
              <w:t>29 Oct 2026</w:t>
            </w:r>
          </w:p>
        </w:tc>
        <w:tc>
          <w:tcPr>
            <w:tcW w:type="dxa" w:w="1361"/>
            <w:shd w:val="clear" w:color="auto" w:fill="F3F5F7"/>
          </w:tcPr>
          <w:p>
            <w:r/>
            <w:r>
              <w:rPr>
                <w:sz w:val="19"/>
              </w:rPr>
              <w:t>Update</w:t>
            </w:r>
          </w:p>
        </w:tc>
      </w:tr>
    </w:tbl>
    <w:p/>
    <w:p>
      <w:pPr>
        <w:pStyle w:val="Heading1"/>
      </w:pPr>
      <w:r>
        <w:rPr>
          <w:color w:val="16324F"/>
        </w:rPr>
        <w:t>8. Research papers (Q4 2026)</w:t>
      </w:r>
    </w:p>
    <w:p>
      <w:r>
        <w:t>80 new papers from 20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Soil Dynamics and Earthquake Engineering</w:t>
            </w:r>
          </w:p>
        </w:tc>
        <w:tc>
          <w:tcPr>
            <w:tcW w:type="dxa" w:w="1701"/>
          </w:tcPr>
          <w:p>
            <w:r/>
            <w:r>
              <w:rPr>
                <w:sz w:val="19"/>
              </w:rPr>
              <w:t>9</w:t>
            </w:r>
          </w:p>
        </w:tc>
      </w:tr>
      <w:tr>
        <w:tc>
          <w:tcPr>
            <w:tcW w:type="dxa" w:w="6803"/>
            <w:shd w:val="clear" w:color="auto" w:fill="F3F5F7"/>
          </w:tcPr>
          <w:p>
            <w:r/>
            <w:r>
              <w:rPr>
                <w:sz w:val="19"/>
              </w:rPr>
              <w:t>Engineering Geology</w:t>
            </w:r>
          </w:p>
        </w:tc>
        <w:tc>
          <w:tcPr>
            <w:tcW w:type="dxa" w:w="1701"/>
            <w:shd w:val="clear" w:color="auto" w:fill="F3F5F7"/>
          </w:tcPr>
          <w:p>
            <w:r/>
            <w:r>
              <w:rPr>
                <w:sz w:val="19"/>
              </w:rPr>
              <w:t>8</w:t>
            </w:r>
          </w:p>
        </w:tc>
      </w:tr>
      <w:tr>
        <w:tc>
          <w:tcPr>
            <w:tcW w:type="dxa" w:w="6803"/>
          </w:tcPr>
          <w:p>
            <w:r/>
            <w:r>
              <w:rPr>
                <w:sz w:val="19"/>
              </w:rPr>
              <w:t>Rock Mechanics and Rock Engineering</w:t>
            </w:r>
          </w:p>
        </w:tc>
        <w:tc>
          <w:tcPr>
            <w:tcW w:type="dxa" w:w="1701"/>
          </w:tcPr>
          <w:p>
            <w:r/>
            <w:r>
              <w:rPr>
                <w:sz w:val="19"/>
              </w:rPr>
              <w:t>8</w:t>
            </w:r>
          </w:p>
        </w:tc>
      </w:tr>
      <w:tr>
        <w:tc>
          <w:tcPr>
            <w:tcW w:type="dxa" w:w="6803"/>
            <w:shd w:val="clear" w:color="auto" w:fill="F3F5F7"/>
          </w:tcPr>
          <w:p>
            <w:r/>
            <w:r>
              <w:rPr>
                <w:sz w:val="19"/>
              </w:rPr>
              <w:t>Journal of Geotechnical and Geoenvironmental Engineering</w:t>
            </w:r>
          </w:p>
        </w:tc>
        <w:tc>
          <w:tcPr>
            <w:tcW w:type="dxa" w:w="1701"/>
            <w:shd w:val="clear" w:color="auto" w:fill="F3F5F7"/>
          </w:tcPr>
          <w:p>
            <w:r/>
            <w:r>
              <w:rPr>
                <w:sz w:val="19"/>
              </w:rPr>
              <w:t>7</w:t>
            </w:r>
          </w:p>
        </w:tc>
      </w:tr>
      <w:tr>
        <w:tc>
          <w:tcPr>
            <w:tcW w:type="dxa" w:w="6803"/>
          </w:tcPr>
          <w:p>
            <w:r/>
            <w:r>
              <w:rPr>
                <w:sz w:val="19"/>
              </w:rPr>
              <w:t>Transportation Geotechnics</w:t>
            </w:r>
          </w:p>
        </w:tc>
        <w:tc>
          <w:tcPr>
            <w:tcW w:type="dxa" w:w="1701"/>
          </w:tcPr>
          <w:p>
            <w:r/>
            <w:r>
              <w:rPr>
                <w:sz w:val="19"/>
              </w:rPr>
              <w:t>7</w:t>
            </w:r>
          </w:p>
        </w:tc>
      </w:tr>
      <w:tr>
        <w:tc>
          <w:tcPr>
            <w:tcW w:type="dxa" w:w="6803"/>
            <w:shd w:val="clear" w:color="auto" w:fill="F3F5F7"/>
          </w:tcPr>
          <w:p>
            <w:r/>
            <w:r>
              <w:rPr>
                <w:sz w:val="19"/>
              </w:rPr>
              <w:t>Bulletin of Engineering Geology and the Environment</w:t>
            </w:r>
          </w:p>
        </w:tc>
        <w:tc>
          <w:tcPr>
            <w:tcW w:type="dxa" w:w="1701"/>
            <w:shd w:val="clear" w:color="auto" w:fill="F3F5F7"/>
          </w:tcPr>
          <w:p>
            <w:r/>
            <w:r>
              <w:rPr>
                <w:sz w:val="19"/>
              </w:rPr>
              <w:t>6</w:t>
            </w:r>
          </w:p>
        </w:tc>
      </w:tr>
      <w:tr>
        <w:tc>
          <w:tcPr>
            <w:tcW w:type="dxa" w:w="6803"/>
          </w:tcPr>
          <w:p>
            <w:r/>
            <w:r>
              <w:rPr>
                <w:sz w:val="19"/>
              </w:rPr>
              <w:t>Tunnelling and Underground Space Technology</w:t>
            </w:r>
          </w:p>
        </w:tc>
        <w:tc>
          <w:tcPr>
            <w:tcW w:type="dxa" w:w="1701"/>
          </w:tcPr>
          <w:p>
            <w:r/>
            <w:r>
              <w:rPr>
                <w:sz w:val="19"/>
              </w:rPr>
              <w:t>6</w:t>
            </w:r>
          </w:p>
        </w:tc>
      </w:tr>
      <w:tr>
        <w:tc>
          <w:tcPr>
            <w:tcW w:type="dxa" w:w="6803"/>
            <w:shd w:val="clear" w:color="auto" w:fill="F3F5F7"/>
          </w:tcPr>
          <w:p>
            <w:r/>
            <w:r>
              <w:rPr>
                <w:sz w:val="19"/>
              </w:rPr>
              <w:t>Computers and Geotechnics</w:t>
            </w:r>
          </w:p>
        </w:tc>
        <w:tc>
          <w:tcPr>
            <w:tcW w:type="dxa" w:w="1701"/>
            <w:shd w:val="clear" w:color="auto" w:fill="F3F5F7"/>
          </w:tcPr>
          <w:p>
            <w:r/>
            <w:r>
              <w:rPr>
                <w:sz w:val="19"/>
              </w:rPr>
              <w:t>5</w:t>
            </w:r>
          </w:p>
        </w:tc>
      </w:tr>
      <w:tr>
        <w:tc>
          <w:tcPr>
            <w:tcW w:type="dxa" w:w="6803"/>
          </w:tcPr>
          <w:p>
            <w:r/>
            <w:r>
              <w:rPr>
                <w:sz w:val="19"/>
              </w:rPr>
              <w:t>Acta Geotechnica</w:t>
            </w:r>
          </w:p>
        </w:tc>
        <w:tc>
          <w:tcPr>
            <w:tcW w:type="dxa" w:w="1701"/>
          </w:tcPr>
          <w:p>
            <w:r/>
            <w:r>
              <w:rPr>
                <w:sz w:val="19"/>
              </w:rPr>
              <w:t>4</w:t>
            </w:r>
          </w:p>
        </w:tc>
      </w:tr>
      <w:tr>
        <w:tc>
          <w:tcPr>
            <w:tcW w:type="dxa" w:w="6803"/>
            <w:shd w:val="clear" w:color="auto" w:fill="F3F5F7"/>
          </w:tcPr>
          <w:p>
            <w:r/>
            <w:r>
              <w:rPr>
                <w:sz w:val="19"/>
              </w:rPr>
              <w:t>Underground Space</w:t>
            </w:r>
          </w:p>
        </w:tc>
        <w:tc>
          <w:tcPr>
            <w:tcW w:type="dxa" w:w="1701"/>
            <w:shd w:val="clear" w:color="auto" w:fill="F3F5F7"/>
          </w:tcPr>
          <w:p>
            <w:r/>
            <w:r>
              <w:rPr>
                <w:sz w:val="19"/>
              </w:rPr>
              <w:t>3</w:t>
            </w:r>
          </w:p>
        </w:tc>
      </w:tr>
      <w:tr>
        <w:tc>
          <w:tcPr>
            <w:tcW w:type="dxa" w:w="6803"/>
          </w:tcPr>
          <w:p>
            <w:r/>
            <w:r>
              <w:rPr>
                <w:sz w:val="19"/>
              </w:rPr>
              <w:t>International Journal for Numerical and Analytical Methods in Geomechanics</w:t>
            </w:r>
          </w:p>
        </w:tc>
        <w:tc>
          <w:tcPr>
            <w:tcW w:type="dxa" w:w="1701"/>
          </w:tcPr>
          <w:p>
            <w:r/>
            <w:r>
              <w:rPr>
                <w:sz w:val="19"/>
              </w:rPr>
              <w:t>3</w:t>
            </w:r>
          </w:p>
        </w:tc>
      </w:tr>
      <w:tr>
        <w:tc>
          <w:tcPr>
            <w:tcW w:type="dxa" w:w="6803"/>
            <w:shd w:val="clear" w:color="auto" w:fill="F3F5F7"/>
          </w:tcPr>
          <w:p>
            <w:r/>
            <w:r>
              <w:rPr>
                <w:sz w:val="19"/>
              </w:rPr>
              <w:t>Landslides</w:t>
            </w:r>
          </w:p>
        </w:tc>
        <w:tc>
          <w:tcPr>
            <w:tcW w:type="dxa" w:w="1701"/>
            <w:shd w:val="clear" w:color="auto" w:fill="F3F5F7"/>
          </w:tcPr>
          <w:p>
            <w:r/>
            <w:r>
              <w:rPr>
                <w:sz w:val="19"/>
              </w:rPr>
              <w:t>3</w:t>
            </w:r>
          </w:p>
        </w:tc>
      </w:tr>
      <w:tr>
        <w:tc>
          <w:tcPr>
            <w:tcW w:type="dxa" w:w="6803"/>
          </w:tcPr>
          <w:p>
            <w:r/>
            <w:r>
              <w:rPr>
                <w:sz w:val="19"/>
              </w:rPr>
              <w:t>Soils and Foundations</w:t>
            </w:r>
          </w:p>
        </w:tc>
        <w:tc>
          <w:tcPr>
            <w:tcW w:type="dxa" w:w="1701"/>
          </w:tcPr>
          <w:p>
            <w:r/>
            <w:r>
              <w:rPr>
                <w:sz w:val="19"/>
              </w:rPr>
              <w:t>3</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2</w:t>
            </w:r>
          </w:p>
        </w:tc>
      </w:tr>
      <w:tr>
        <w:tc>
          <w:tcPr>
            <w:tcW w:type="dxa" w:w="6803"/>
          </w:tcPr>
          <w:p>
            <w:r/>
            <w:r>
              <w:rPr>
                <w:sz w:val="19"/>
              </w:rPr>
              <w:t>Journal of Rock Mechanics and Geotechnical Engineering</w:t>
            </w:r>
          </w:p>
        </w:tc>
        <w:tc>
          <w:tcPr>
            <w:tcW w:type="dxa" w:w="1701"/>
          </w:tcPr>
          <w:p>
            <w:r/>
            <w:r>
              <w:rPr>
                <w:sz w:val="19"/>
              </w:rPr>
              <w:t>1</w:t>
            </w:r>
          </w:p>
        </w:tc>
      </w:tr>
      <w:tr>
        <w:tc>
          <w:tcPr>
            <w:tcW w:type="dxa" w:w="6803"/>
            <w:shd w:val="clear" w:color="auto" w:fill="F3F5F7"/>
          </w:tcPr>
          <w:p>
            <w:r/>
            <w:r>
              <w:rPr>
                <w:sz w:val="19"/>
              </w:rPr>
              <w:t>International Journal of Geomechanics</w:t>
            </w:r>
          </w:p>
        </w:tc>
        <w:tc>
          <w:tcPr>
            <w:tcW w:type="dxa" w:w="1701"/>
            <w:shd w:val="clear" w:color="auto" w:fill="F3F5F7"/>
          </w:tcPr>
          <w:p>
            <w:r/>
            <w:r>
              <w:rPr>
                <w:sz w:val="19"/>
              </w:rPr>
              <w:t>1</w:t>
            </w:r>
          </w:p>
        </w:tc>
      </w:tr>
      <w:tr>
        <w:tc>
          <w:tcPr>
            <w:tcW w:type="dxa" w:w="6803"/>
          </w:tcPr>
          <w:p>
            <w:r/>
            <w:r>
              <w:rPr>
                <w:sz w:val="19"/>
              </w:rPr>
              <w:t>Geosynthetics International</w:t>
            </w:r>
          </w:p>
        </w:tc>
        <w:tc>
          <w:tcPr>
            <w:tcW w:type="dxa" w:w="1701"/>
          </w:tcPr>
          <w:p>
            <w:r/>
            <w:r>
              <w:rPr>
                <w:sz w:val="19"/>
              </w:rPr>
              <w:t>1</w:t>
            </w:r>
          </w:p>
        </w:tc>
      </w:tr>
      <w:tr>
        <w:tc>
          <w:tcPr>
            <w:tcW w:type="dxa" w:w="6803"/>
            <w:shd w:val="clear" w:color="auto" w:fill="F3F5F7"/>
          </w:tcPr>
          <w:p>
            <w:r/>
            <w:r>
              <w:rPr>
                <w:sz w:val="19"/>
              </w:rPr>
              <w:t>Geomechanics for Energy and the Environment</w:t>
            </w:r>
          </w:p>
        </w:tc>
        <w:tc>
          <w:tcPr>
            <w:tcW w:type="dxa" w:w="1701"/>
            <w:shd w:val="clear" w:color="auto" w:fill="F3F5F7"/>
          </w:tcPr>
          <w:p>
            <w:r/>
            <w:r>
              <w:rPr>
                <w:sz w:val="19"/>
              </w:rPr>
              <w:t>1</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bl>
    <w:p/>
    <w:p>
      <w:pPr>
        <w:pStyle w:val="ListBullet"/>
      </w:pPr>
      <w:hyperlink r:id="rId10">
        <w:r>
          <w:rPr>
            <w:b/>
            <w:color w:val="1D5A8A"/>
            <w:u w:val="single"/>
          </w:rPr>
          <w:t>Experimental Investigation of the Static-to-Kinetic Friction Transition of Piles in Sand Subjected to Various Loading Rates</w:t>
        </w:r>
      </w:hyperlink>
      <w:r>
        <w:t xml:space="preserve"> — Journal of Geotechnical and Geoenvironmental Engineering, 2026-10-29. Shows that pile capacity in sand drops noticeably with faster loading, so design and load-test interpretation should account for the rate at which loads are applied.</w:t>
      </w:r>
    </w:p>
    <w:p>
      <w:pPr>
        <w:pStyle w:val="ListBullet"/>
      </w:pPr>
      <w:hyperlink r:id="rId11">
        <w:r>
          <w:rPr>
            <w:b/>
            <w:color w:val="1D5A8A"/>
            <w:u w:val="single"/>
          </w:rPr>
          <w:t>Surrogate-assisted joint backcalculation of bimodular pavement layer moduli from FWD and staged plate-load tests on excavated formations</w:t>
        </w:r>
      </w:hyperlink>
      <w:r>
        <w:t xml:space="preserve"> — Transportation Geotechnics, 2026-10-28. Combines falling weight deflectometer and plate-load data to backcalculate layer moduli, giving pavement engineers a more reliable way to characterise subgrades.</w:t>
      </w:r>
    </w:p>
    <w:p>
      <w:pPr>
        <w:pStyle w:val="ListBullet"/>
      </w:pPr>
      <w:hyperlink r:id="rId12">
        <w:r>
          <w:rPr>
            <w:b/>
            <w:color w:val="1D5A8A"/>
            <w:u w:val="single"/>
          </w:rPr>
          <w:t>Critical review and innovations in excavation practices for soft soil conditions</w:t>
        </w:r>
      </w:hyperlink>
      <w:r>
        <w:t xml:space="preserve"> — Soils and Foundations, 2026-10-26. Reviews excavation methods in soft soils and proposes innovations, giving contractors and designers practical guidance for deep cuts in difficult ground.</w:t>
      </w:r>
    </w:p>
    <w:p>
      <w:pPr>
        <w:pStyle w:val="ListBullet"/>
      </w:pPr>
      <w:hyperlink r:id="rId13">
        <w:r>
          <w:rPr>
            <w:b/>
            <w:color w:val="1D5A8A"/>
            <w:u w:val="single"/>
          </w:rPr>
          <w:t>Efficiency of C-band persistent scatterer interferometry for regional landslide monitoring: insights from the Southern Swiss Alps</w:t>
        </w:r>
      </w:hyperlink>
      <w:r>
        <w:t xml:space="preserve"> — Engineering Geology, 2026-10-28. Assesses how well satellite radar monitoring detects slope movement in alpine terrain, helping engineers decide where it can replace or supplement ground instruments.</w:t>
      </w:r>
    </w:p>
    <w:p>
      <w:pPr>
        <w:pStyle w:val="ListBullet"/>
      </w:pPr>
      <w:hyperlink r:id="rId14">
        <w:r>
          <w:rPr>
            <w:b/>
            <w:color w:val="1D5A8A"/>
            <w:u w:val="single"/>
          </w:rPr>
          <w:t>CO2 leakage mitigation in defective wellbores: From permeability–Pressure diagnosis to MICP grouting</w:t>
        </w:r>
      </w:hyperlink>
      <w:r>
        <w:t xml:space="preserve"> — Engineering Geology, 2026-10-28. Links wellbore permeability diagnostics to microbially induced grouting, giving practitioners a route to sealing leaky wells for carbon storage.</w:t>
      </w:r>
    </w:p>
    <w:p>
      <w:pPr>
        <w:pStyle w:val="ListBullet"/>
      </w:pPr>
      <w:hyperlink r:id="rId15">
        <w:r>
          <w:rPr>
            <w:b/>
            <w:color w:val="1D5A8A"/>
            <w:u w:val="single"/>
          </w:rPr>
          <w:t>Model test on thermal insulation mechanism of sandwich lining structures for tunnel and corresponding simulation</w:t>
        </w:r>
      </w:hyperlink>
      <w:r>
        <w:t xml:space="preserve"> — Underground Space, 2026-10-29. Provides model test evidence on insulating sandwich tunnel linings, useful for designers managing heat loss and thermal performance in tunnels.</w:t>
      </w:r>
    </w:p>
    <w:p>
      <w:pPr>
        <w:pStyle w:val="ListBullet"/>
      </w:pPr>
      <w:hyperlink r:id="rId16">
        <w:r>
          <w:rPr>
            <w:b/>
            <w:color w:val="1D5A8A"/>
            <w:u w:val="single"/>
          </w:rPr>
          <w:t>From resilient stiffness to cyclic failure: Multi-regime cyclic behavior of silty clay stabilized with MICP, Lignin Fiber, and Sodium Alginate</w:t>
        </w:r>
      </w:hyperlink>
      <w:r>
        <w:t xml:space="preserve"> — Transportation Geotechnics, 2026-10-28. Compares MICP, lignin fibre and alginate stabilisation of silty clay under cyclic loading, offering guidance on choosing treatments for pavement subgrades.</w:t>
      </w:r>
    </w:p>
    <w:p>
      <w:pPr>
        <w:pStyle w:val="ListBullet"/>
      </w:pPr>
      <w:hyperlink r:id="rId17">
        <w:r>
          <w:rPr>
            <w:b/>
            <w:color w:val="1D5A8A"/>
            <w:u w:val="single"/>
          </w:rPr>
          <w:t>Inferring Inter‐Well Fracture Interactions in Unconventional Reservoirs Using Fiber‐Optic Sensing and Coupled Multiphysics Modelling</w:t>
        </w:r>
      </w:hyperlink>
      <w:r>
        <w:t xml:space="preserve"> — International Journal for Numerical and Analytical Methods in Geomechanics, 2026-10-28. Shows how fibre-optic DTS and DAS data can be matched with coupled simulations to diagnose inter-well fracture interference in reservoirs, aiding field monitoring interpretation.</w:t>
      </w:r>
    </w:p>
    <w:p>
      <w:pPr>
        <w:pStyle w:val="Heading1"/>
      </w:pPr>
      <w:r>
        <w:rPr>
          <w:color w:val="16324F"/>
        </w:rPr>
        <w:t>9. Issue briefs and planning</w:t>
      </w:r>
    </w:p>
    <w:p>
      <w:r>
        <w:t>Claude drafts a brief for each issue window: a proposed table of contents that follows the suggested issue layout (in briefs written since 26 October 2026),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r>
        <w:t>Suggested issue layout (config.yaml, issue_layout): 16 sections, 7 of them fed by the scanner (Cover story: 1; Geotechnics in the News: 10; Lessons from the Field: 1; From Research to Practice: 2; Global News from Member Societies + Regional Insight: 6; Education &amp; Innovation: 2; Upcoming Events &amp; Calls for Papers: 8 items). The issue pages show it, the brief's table of contents follows it and the shared planning sheet builds its issue plan tabs from it.</w:t>
      </w:r>
    </w:p>
    <w:p>
      <w:r>
        <w:t>Shared planning sheet (Google Sheets): not linked yet. Run setupPlanningSheet once in the AI assistant's Apps Script project, then paste the address it logs into config.yaml under planning, sheet_url (README, Shared planning sheet).</w:t>
      </w:r>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43</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2026-10-29 · A shorter top bar, an Ask AI button and a map of the events</w:t>
      </w:r>
    </w:p>
    <w:p>
      <w:pPr>
        <w:pStyle w:val="ListBullet"/>
      </w:pPr>
      <w:r>
        <w:t>Top bar - it now has three items, to leave room for new pages later. Latest opens a short menu with Latest (today's digest), Trends, Developing stories and Archive; World map opens a menu with World map and Events; Search is a plain tab as before. Tap or click a menu to open it; tap it again, choose a page or tap anywhere else to close it. With a keyboard: Tab to the menu, Enter or Space opens it, the arrow keys move through it and Escape closes it. The menu holding the page you are on is highlighted, and inside it that page is marked. The menus work the same on an iPad, a phone and a computer, and also when the browser runs no scripts. Every button in the top bar is now at least the size of a fingertip, so it is easy to tap on the iPad.</w:t>
      </w:r>
    </w:p>
    <w:p>
      <w:pPr>
        <w:pStyle w:val="ListBullet"/>
      </w:pPr>
      <w:r>
        <w:t>Method &amp; sources is now a button at the top right, beside Scan now, in the same rounded style but lighter (outlined). On a narrow screen it reads Method; on a phone it shows only its book icon.</w:t>
      </w:r>
    </w:p>
    <w:p>
      <w:pPr>
        <w:pStyle w:val="ListBullet"/>
      </w:pPr>
      <w:r>
        <w:t>Ask AI - a round button at the bottom right of every page opens the AI assistant. It is not shown on the assistant's own page or on printouts. Every page now ends with a little extra space so the button never hides its last lines, the button keeps clear of the iPad's home bar, and notices such as the Scan now progress open just above it. With a keyboard, it comes straight after Scan now.</w:t>
      </w:r>
    </w:p>
    <w:p>
      <w:pPr>
        <w:pStyle w:val="ListBullet"/>
      </w:pPr>
      <w:r>
        <w:t>Events map - the Events page now shows, above the list of upcoming events (which is unchanged), a world map of where they take place. Each circle is a city: gold where at least one ISSMGE event is, blue for other events only, with the number of events in it; nearby cities share a circle until you zoom in on a region. Tap a circle, or a country beside the map, to list its events; each one links to its card in the list, which opens just below the filters. On a touch screen, circles too close to tap apart share one circle until you zoom in. The filters above the map (text, kind, region, ISSMGE only) apply to the map too. Events held only online and those the calendar gives no place for yet are counted beside the map, not drawn on it. The Table button lists every country with its events, also for screen readers. A city the map does not know yet is shown in the middle of its country; the list of cities is in events.py (CITY_POINTS).</w:t>
      </w:r>
    </w:p>
    <w:p>
      <w:pPr>
        <w:pStyle w:val="ListBullet"/>
      </w:pPr>
      <w:r>
        <w:t>Site title - the line under Geotechnical News Desk now reads ISSMGE – Magazine Presidential Committee (MPC); on a narrow screen, ISSMGE – MPC.</w:t>
      </w:r>
    </w:p>
    <w:p>
      <w:pPr>
        <w:pStyle w:val="ListBullet"/>
      </w:pPr>
      <w:r>
        <w:t>Phones - ISSMGE – MPC also shows on the narrowest Android phones (Galaxy S8, Moto G4); with a larger font size or zoom set on the phone, the top bar, its menus and the buttons still fit the screen (shorter labels, the name on two lines); and on an iPhone held sideways the top bar keeps clear of the notch.</w:t>
      </w:r>
    </w:p>
    <w:p>
      <w:pPr>
        <w:pStyle w:val="ListBullet"/>
      </w:pPr>
      <w:r>
        <w:t>Also fixed: on a phone, a long error message in the list of failed sources made the Method &amp; sources page slightly wider than the screen.</w:t>
      </w:r>
    </w:p>
    <w:p>
      <w:pPr>
        <w:spacing w:before="160"/>
      </w:pPr>
      <w:r>
        <w:rPr>
          <w:b/>
          <w:color w:val="23466B"/>
        </w:rPr>
        <w:t>2026-10-26 · Ratings by size</w:t>
      </w:r>
    </w:p>
    <w:p>
      <w:pPr>
        <w:pStyle w:val="ListBullet"/>
      </w:pPr>
      <w:r>
        <w:t>Claude now rates each story 1-5 in two steps. First: is it truly geotechnical, with a clear ground-engineering element? If not, it gets 1 (not geotechnical) or 2 (the ground is mentioned only in passing) and is dropped, however big the news. Then, only for a geotechnical story, its size and importance: 3 = local or small, 4 = national or regional importance, 5 = international importance or a landmark project, judged by the consequences and lessons for ground engineering, not by how much media attention the story gets. Stories rated 3 or more are kept, as before. The rule applies from the scan of 27 October 2026: ratings in the digests up to and including 26 October 2026 measured geotechnical substance alone, without size, and the closed section on those days' pages says so.</w:t>
      </w:r>
    </w:p>
    <w:p>
      <w:pPr>
        <w:pStyle w:val="ListBullet"/>
      </w:pPr>
      <w:r>
        <w:t>The daily page (Latest and each day's digest page) and the weekly summary (its page and its e-mail) list the stories rated 4 and 5. The stories rated 3 are not deleted: on the day's page they are in a closed section at the end, Smaller local stories (rated 3), with their number, and the weekly summary says how many there were and that they are in the archive. Everywhere else they stay as before: the archive, Search, the world map, the issue pages, the CSV, Excel and JSON downloads, developing stories and the issue brief. Stories without a Claude rating (ranked by keywords) are shown as before. Alerts still go out for 5/5 stories, which now means international importance or a landmark project.</w:t>
      </w:r>
    </w:p>
    <w:p>
      <w:pPr>
        <w:spacing w:before="160"/>
      </w:pPr>
      <w:r>
        <w:rPr>
          <w:b/>
          <w:color w:val="23466B"/>
        </w:rPr>
        <w:t>2026-10-26 · Searches for Africa and Australasia</w:t>
      </w:r>
    </w:p>
    <w:p>
      <w:pPr>
        <w:pStyle w:val="ListBullet"/>
      </w:pPr>
      <w:r>
        <w:t>Five new Google News searches - of the 150 stories in the 24 to 26 October digests, Claude located none in Africa and two in Australasia: the English editions for South Africa and Australia return mostly the same worldwide stories as the other editions. The new searches name the countries: Nigeria (building collapses, gully erosion, dam collapses, soil tests); Kenya, Uganda, Tanzania, Rwanda and Ethiopia (landslides, sinkholes, building collapses, dam bursts, gully erosion); Ghana (mining-pit and building collapses, coastal erosion, the Akosombo dam, sinkholes); Morocco, Algeria, Tunisia and Libya, in Arabic (landslides, dam, building and house collapses, geotechnical studies); and New Zealand (landslides, liquefaction, retaining walls, sinkholes, tunnel boring machines). They were tried from GitHub with the Check feeds workflow (the Nigeria and Ghana searches term by term) before being added. Searches for French-speaking Africa, South Africa, southern Africa, the Pacific islands and Australia found almost nothing relevant in three days and were left out.</w:t>
      </w:r>
    </w:p>
    <w:p>
      <w:pPr>
        <w:pStyle w:val="ListBullet"/>
      </w:pPr>
      <w:r>
        <w:t>Their stories get 4 extra points (boost) when a keyword matches: on its own a building collapse scores 1 and erosion 2, too little to pass the keyword filter or to reach Claude ahead of the many one-keyword stories (4 points) from elsewhere. Claude now reads up to 145 headlines a day instead of 130 (max_candidates), so the new stories do not push others out, for well under one US cent a day more; an excluded headline (an election won by a landslide) gets no extra points; and Claude's rating decides, as for every story, what goes into the digest. The Google News editions of Nigeria, Kenya, Ghana, Morocco and New Zealand are shown by name.</w:t>
      </w:r>
    </w:p>
    <w:p>
      <w:pPr>
        <w:spacing w:before="160"/>
      </w:pPr>
      <w:r>
        <w:rPr>
          <w:b/>
          <w:color w:val="23466B"/>
        </w:rPr>
        <w:t>2026-10-26 · An English translation for every foreign headline</w:t>
      </w:r>
    </w:p>
    <w:p>
      <w:pPr>
        <w:pStyle w:val="ListBullet"/>
      </w:pPr>
      <w:r>
        <w:t>Missing translations - in the 26 October digest, 24 of the 39 headlines in other languages (most of them Spanish and Portuguese) had no English translation, against a handful on earlier days. Since 25 October the triage prompt had said that the outlets' headlines are not to be reused, which Claude most likely took to include translating them. The prompt now asks for the translation of every headline that is not in English, and says it is shown labelled as Claude's translation beside the original. A report that stands in for another website's story (when a website has more than five) also no longer takes over that story's translation, which was of another outlet's headline; it is given its own.</w:t>
      </w:r>
    </w:p>
    <w:p>
      <w:pPr>
        <w:pStyle w:val="ListBullet"/>
      </w:pPr>
      <w:r>
        <w:t>Safety net - at the end of each scan, any headline still without an English translation, from that scan or from the digests of the last 45 days, is translated in one small extra request (a headline Claude finds to be in English is marked and not sent again, unless it looks foreign). The 24, 25 and 26 October digests are filled in by the next scan, or at once by a new task: the Events calendar and weekly summary workflow has a new task, translate missing headlines, that does the same at any time. The translations carry the usual label, English headline translated by Claude, with the original headline beside them.</w:t>
      </w:r>
    </w:p>
    <w:p>
      <w:pPr>
        <w:spacing w:before="160"/>
      </w:pPr>
      <w:r>
        <w:rPr>
          <w:b/>
          <w:color w:val="23466B"/>
        </w:rPr>
        <w:t>2026-10-26 · Suggested issue layout, a table of contents in the brief and a shared planning sheet</w:t>
      </w:r>
    </w:p>
    <w:p>
      <w:pPr>
        <w:pStyle w:val="ListBullet"/>
      </w:pPr>
      <w:r>
        <w:t>Suggested issue layout - the editor asked for a table of contents. The default layout in config.yaml (issue_layout) follows the magazine's sections since its relaunch in March 2024 and adds four fed by the news desk - 1 Cover story (scanner, 1 story, 4-6 pages), 2 Welcome from the President, 3 Message from the Editor, 4 From the Board / Vice-Presidents' reports, 5 ISSMGE Highlights, 6 Geotechnics in the News (scanner, 10 short items), 7 Lessons from the Field (scanner, 1 developing story), 8 From Research to Practice (scanner, 2 papers), 9 Global News from Member Societies + Regional Insight (society and scanner, one story per ISSMGE region), 10 Technical Committees Activities, 11 Young Members' Arena, 12 Education &amp; Innovation (society and scanner), 13 Corporate Associates Corner, 14 Heritage / Time Capsule, 15 In Memory and 16 Upcoming Events &amp; Calls for Papers (scanner, from the events calendar). Each section says who fills it, how many items the scanner proposes, its usual length and what goes there. Editors can rename, reorder, add or remove sections; a section that cannot be read is repaired or left out with a note, so a typo never stops a scan.</w:t>
      </w:r>
    </w:p>
    <w:p>
      <w:pPr>
        <w:pStyle w:val="ListBullet"/>
      </w:pPr>
      <w:r>
        <w:t>Issue pages - a Suggested table of contents panel shows the layout and which sections the scanner feeds; once config.yaml has planning, sheet_url, a Shared planning sheet (Google Sheets) button opens the team's sheet.</w:t>
      </w:r>
    </w:p>
    <w:p>
      <w:pPr>
        <w:pStyle w:val="ListBullet"/>
      </w:pPr>
      <w:r>
        <w:t>Issue brief - Claude now plans the issue to the layout. The brief opens with a Proposed table of contents: for every section the scanner fills, exactly its number of stories, papers, events or developing stories, each with a one-line reason and whom to check it with; for the sections from ISSMGE or the editor, a short checklist of what to collect, with pointers from the quarter's data (TC symposia and ISSMGE events, member-society countries with no stories, Digital Geotechnics stories). Claude also now reads where each story happened, with its ISSMGE region. Earlier briefs are unchanged. If Claude Opus declines a brief, the API now hands it to Anthropic's recommended fallback model, and the brief says so.</w:t>
      </w:r>
    </w:p>
    <w:p>
      <w:pPr>
        <w:pStyle w:val="ListBullet"/>
      </w:pPr>
      <w:r>
        <w:t>Shared planning sheet - the AI assistant's Google connector (assistant/bridge.gs) can keep a Google spreadsheet for the editorial team. Run setupPlanningSheet once in the Apps Script project; every morning at about 07:00 Cairo time it adds the new stories and papers of the current and previous quarter (best rated first), refreshes the news desk's columns, marks stories no longer in the digest and never changes the team's Status, Assigned to and Editor notes. Each quarter has an issue plan tab built from the layout, with the proposed stories chosen from the quarter's shortlisted headlines. The website publishes the layout for it (exports/layout.json); research papers in the website's data now carry an id.</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the shared planning sheet: paste the new assistant/bridge.gs into the Apps Script project (keep the link to the key document on line 15), run setupPlanningSheet once and allow the permissions, open the address it logs, share the sheet with the team (Share button) and, if wanted, paste the address into config.yaml under planning, sheet_url (README, Shared planning sheet). Check the suggested issue layout (config.yaml, issue_layout) with the editorial board and adjust the sections, slots and pages.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61/jggefk.gteng-14539" TargetMode="External"/><Relationship Id="rId11" Type="http://schemas.openxmlformats.org/officeDocument/2006/relationships/hyperlink" Target="https://doi.org/10.1016/j.trgeo.2026.102492" TargetMode="External"/><Relationship Id="rId12" Type="http://schemas.openxmlformats.org/officeDocument/2006/relationships/hyperlink" Target="https://doi.org/10.1016/j.sandf.2026.101888" TargetMode="External"/><Relationship Id="rId13" Type="http://schemas.openxmlformats.org/officeDocument/2006/relationships/hyperlink" Target="https://doi.org/10.1016/j.enggeo.2026.109182" TargetMode="External"/><Relationship Id="rId14" Type="http://schemas.openxmlformats.org/officeDocument/2006/relationships/hyperlink" Target="https://doi.org/10.1016/j.enggeo.2026.109177" TargetMode="External"/><Relationship Id="rId15" Type="http://schemas.openxmlformats.org/officeDocument/2006/relationships/hyperlink" Target="https://doi.org/10.1016/j.undsp.2026.10.002" TargetMode="External"/><Relationship Id="rId16" Type="http://schemas.openxmlformats.org/officeDocument/2006/relationships/hyperlink" Target="https://doi.org/10.1016/j.trgeo.2026.102506" TargetMode="External"/><Relationship Id="rId17" Type="http://schemas.openxmlformats.org/officeDocument/2006/relationships/hyperlink" Target="https://doi.org/10.1002/nag.704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