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13:45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(13:41 UTC)</w:t>
            </w:r>
          </w:p>
        </w:tc>
      </w:tr>
      <w:tr>
        <w:tc>
          <w:tcPr>
            <w:tcW w:type="dxa" w:w="4535"/>
            <w:shd w:val="clear" w:color="auto" w:fill="F3F5F7"/>
          </w:tcPr>
          <w:p>
            <w:r/>
            <w:r>
              <w:rPr>
                <w:sz w:val="19"/>
              </w:rPr>
              <w:t>Stories in latest digest</w:t>
            </w:r>
          </w:p>
        </w:tc>
        <w:tc>
          <w:tcPr>
            <w:tcW w:type="dxa" w:w="5102"/>
            <w:shd w:val="clear" w:color="auto" w:fill="F3F5F7"/>
          </w:tcPr>
          <w:p>
            <w:r/>
            <w:r>
              <w:rPr>
                <w:sz w:val="19"/>
              </w:rPr>
              <w:t>30</w:t>
            </w:r>
          </w:p>
        </w:tc>
      </w:tr>
      <w:tr>
        <w:tc>
          <w:tcPr>
            <w:tcW w:type="dxa" w:w="4535"/>
          </w:tcPr>
          <w:p>
            <w:r/>
            <w:r>
              <w:rPr>
                <w:sz w:val="19"/>
              </w:rPr>
              <w:t>New items scanned</w:t>
            </w:r>
          </w:p>
        </w:tc>
        <w:tc>
          <w:tcPr>
            <w:tcW w:type="dxa" w:w="5102"/>
          </w:tcPr>
          <w:p>
            <w:r/>
            <w:r>
              <w:rPr>
                <w:sz w:val="19"/>
              </w:rPr>
              <w:t>789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30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26</w:t>
            </w:r>
          </w:p>
        </w:tc>
      </w:tr>
    </w:tbl>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B5560E"/>
        </w:rPr>
        <w:t xml:space="preserve">⚠ </w:t>
      </w:r>
      <w:r>
        <w:t>8 of 26 websites were read successfully; 18 failed (see Source health).</w:t>
      </w:r>
    </w:p>
    <w:p>
      <w:pPr>
        <w:spacing w:after="60"/>
      </w:pPr>
      <w:r>
        <w:rPr>
          <w:b/>
          <w:color w:val="1E7B4F"/>
        </w:rPr>
        <w:t xml:space="preserve">✔ </w:t>
      </w:r>
      <w:r>
        <w:t>Theme balance: 5 themes covered; the largest is Hazards &amp; Resilience with 18 of 30 stories (60%).</w:t>
      </w:r>
    </w:p>
    <w:p>
      <w:pPr>
        <w:spacing w:after="60"/>
      </w:pPr>
      <w:r>
        <w:rPr>
          <w:b/>
          <w:color w:val="5B6573"/>
        </w:rPr>
        <w:t xml:space="preserve">• </w:t>
      </w:r>
      <w:r>
        <w:t>23 different outlets contributed; the most frequent was Vietnam.vn (7 stories).</w:t>
      </w:r>
    </w:p>
    <w:p>
      <w:pPr>
        <w:spacing w:after="60"/>
      </w:pPr>
      <w:r>
        <w:rPr>
          <w:b/>
          <w:color w:val="5B6573"/>
        </w:rPr>
        <w:t xml:space="preserve">• </w:t>
      </w:r>
      <w:r>
        <w:t>21 stories came from non-English Google News editions.</w:t>
      </w:r>
    </w:p>
    <w:p>
      <w:pPr>
        <w:spacing w:after="60"/>
      </w:pPr>
      <w:r>
        <w:rPr>
          <w:b/>
          <w:color w:val="5B6573"/>
        </w:rPr>
        <w:t xml:space="preserve">• </w:t>
      </w:r>
      <w:r>
        <w:t>22 stories were rated 4 or 5 out of 5.</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30</w:t>
            </w:r>
          </w:p>
        </w:tc>
        <w:tc>
          <w:tcPr>
            <w:tcW w:type="dxa" w:w="1417"/>
          </w:tcPr>
          <w:p>
            <w:r/>
            <w:r>
              <w:rPr>
                <w:sz w:val="19"/>
              </w:rPr>
              <w:t>1</w:t>
            </w:r>
          </w:p>
        </w:tc>
        <w:tc>
          <w:tcPr>
            <w:tcW w:type="dxa" w:w="1701"/>
          </w:tcPr>
          <w:p>
            <w:r/>
            <w:r>
              <w:rPr>
                <w:sz w:val="19"/>
              </w:rPr>
              <w:t>11</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E9E5F9"/>
          </w:tcPr>
          <w:p>
            <w:r/>
            <w:r>
              <w:rPr>
                <w:b/>
                <w:color w:val="6B4FD6"/>
                <w:sz w:val="19"/>
              </w:rPr>
              <w:t>Digital Geotechnics</w:t>
            </w:r>
          </w:p>
        </w:tc>
        <w:tc>
          <w:tcPr>
            <w:tcW w:type="dxa" w:w="1417"/>
          </w:tcPr>
          <w:p>
            <w:r/>
            <w:r>
              <w:rPr>
                <w:sz w:val="19"/>
              </w:rPr>
              <w:t>1</w:t>
            </w:r>
          </w:p>
        </w:tc>
        <w:tc>
          <w:tcPr>
            <w:tcW w:type="dxa" w:w="1417"/>
          </w:tcPr>
          <w:p>
            <w:r/>
            <w:r>
              <w:rPr>
                <w:sz w:val="19"/>
              </w:rPr>
              <w:t>3%</w:t>
            </w:r>
          </w:p>
        </w:tc>
        <w:tc>
          <w:tcPr>
            <w:tcW w:type="dxa" w:w="1701"/>
          </w:tcPr>
          <w:p>
            <w:r/>
            <w:r>
              <w:rPr>
                <w:sz w:val="19"/>
              </w:rPr>
              <w:t>1</w:t>
            </w:r>
          </w:p>
        </w:tc>
      </w:tr>
      <w:tr>
        <w:tc>
          <w:tcPr>
            <w:tcW w:type="dxa" w:w="4535"/>
            <w:shd w:val="clear" w:color="auto" w:fill="FAE5DF"/>
          </w:tcPr>
          <w:p>
            <w:r/>
            <w:r>
              <w:rPr>
                <w:b/>
                <w:color w:val="E04F2C"/>
                <w:sz w:val="19"/>
              </w:rPr>
              <w:t>Hazards &amp; Resilience</w:t>
            </w:r>
          </w:p>
        </w:tc>
        <w:tc>
          <w:tcPr>
            <w:tcW w:type="dxa" w:w="1417"/>
            <w:shd w:val="clear" w:color="auto" w:fill="F3F5F7"/>
          </w:tcPr>
          <w:p>
            <w:r/>
            <w:r>
              <w:rPr>
                <w:sz w:val="19"/>
              </w:rPr>
              <w:t>18</w:t>
            </w:r>
          </w:p>
        </w:tc>
        <w:tc>
          <w:tcPr>
            <w:tcW w:type="dxa" w:w="1417"/>
            <w:shd w:val="clear" w:color="auto" w:fill="F3F5F7"/>
          </w:tcPr>
          <w:p>
            <w:r/>
            <w:r>
              <w:rPr>
                <w:sz w:val="19"/>
              </w:rPr>
              <w:t>60%</w:t>
            </w:r>
          </w:p>
        </w:tc>
        <w:tc>
          <w:tcPr>
            <w:tcW w:type="dxa" w:w="1701"/>
            <w:shd w:val="clear" w:color="auto" w:fill="F3F5F7"/>
          </w:tcPr>
          <w:p>
            <w:r/>
            <w:r>
              <w:rPr>
                <w:sz w:val="19"/>
              </w:rPr>
              <w:t>15</w:t>
            </w:r>
          </w:p>
        </w:tc>
      </w:tr>
      <w:tr>
        <w:tc>
          <w:tcPr>
            <w:tcW w:type="dxa" w:w="4535"/>
            <w:shd w:val="clear" w:color="auto" w:fill="DEE8F9"/>
          </w:tcPr>
          <w:p>
            <w:r/>
            <w:r>
              <w:rPr>
                <w:b/>
                <w:color w:val="2563D6"/>
                <w:sz w:val="19"/>
              </w:rPr>
              <w:t>Infrastructure &amp; the Underground City</w:t>
            </w:r>
          </w:p>
        </w:tc>
        <w:tc>
          <w:tcPr>
            <w:tcW w:type="dxa" w:w="1417"/>
          </w:tcPr>
          <w:p>
            <w:r/>
            <w:r>
              <w:rPr>
                <w:sz w:val="19"/>
              </w:rPr>
              <w:t>5</w:t>
            </w:r>
          </w:p>
        </w:tc>
        <w:tc>
          <w:tcPr>
            <w:tcW w:type="dxa" w:w="1417"/>
          </w:tcPr>
          <w:p>
            <w:r/>
            <w:r>
              <w:rPr>
                <w:sz w:val="19"/>
              </w:rPr>
              <w:t>17%</w:t>
            </w:r>
          </w:p>
        </w:tc>
        <w:tc>
          <w:tcPr>
            <w:tcW w:type="dxa" w:w="1701"/>
          </w:tcPr>
          <w:p>
            <w:r/>
            <w:r>
              <w:rPr>
                <w:sz w:val="19"/>
              </w:rPr>
              <w:t>2</w:t>
            </w:r>
          </w:p>
        </w:tc>
      </w:tr>
      <w:tr>
        <w:tc>
          <w:tcPr>
            <w:tcW w:type="dxa" w:w="4535"/>
            <w:shd w:val="clear" w:color="auto" w:fill="F6E2EB"/>
          </w:tcPr>
          <w:p>
            <w:r/>
            <w:r>
              <w:rPr>
                <w:b/>
                <w:color w:val="C23D7B"/>
                <w:sz w:val="19"/>
              </w:rPr>
              <w:t>Characterisation &amp; Modelling</w:t>
            </w:r>
          </w:p>
        </w:tc>
        <w:tc>
          <w:tcPr>
            <w:tcW w:type="dxa" w:w="1417"/>
            <w:shd w:val="clear" w:color="auto" w:fill="F3F5F7"/>
          </w:tcPr>
          <w:p>
            <w:r/>
            <w:r>
              <w:rPr>
                <w:sz w:val="19"/>
              </w:rPr>
              <w:t>4</w:t>
            </w:r>
          </w:p>
        </w:tc>
        <w:tc>
          <w:tcPr>
            <w:tcW w:type="dxa" w:w="1417"/>
            <w:shd w:val="clear" w:color="auto" w:fill="F3F5F7"/>
          </w:tcPr>
          <w:p>
            <w:r/>
            <w:r>
              <w:rPr>
                <w:sz w:val="19"/>
              </w:rPr>
              <w:t>13%</w:t>
            </w:r>
          </w:p>
        </w:tc>
        <w:tc>
          <w:tcPr>
            <w:tcW w:type="dxa" w:w="1701"/>
            <w:shd w:val="clear" w:color="auto" w:fill="F3F5F7"/>
          </w:tcPr>
          <w:p>
            <w:r/>
            <w:r>
              <w:rPr>
                <w:sz w:val="19"/>
              </w:rPr>
              <w:t>4</w:t>
            </w:r>
          </w:p>
        </w:tc>
      </w:tr>
      <w:tr>
        <w:tc>
          <w:tcPr>
            <w:tcW w:type="dxa" w:w="4535"/>
            <w:shd w:val="clear" w:color="auto" w:fill="EDE6DF"/>
          </w:tcPr>
          <w:p>
            <w:r/>
            <w:r>
              <w:rPr>
                <w:b/>
                <w:color w:val="8A5A2B"/>
                <w:sz w:val="19"/>
              </w:rPr>
              <w:t>Geotechnics &amp; Society</w:t>
            </w:r>
          </w:p>
        </w:tc>
        <w:tc>
          <w:tcPr>
            <w:tcW w:type="dxa" w:w="1417"/>
          </w:tcPr>
          <w:p>
            <w:r/>
            <w:r>
              <w:rPr>
                <w:sz w:val="19"/>
              </w:rPr>
              <w:t>2</w:t>
            </w:r>
          </w:p>
        </w:tc>
        <w:tc>
          <w:tcPr>
            <w:tcW w:type="dxa" w:w="1417"/>
          </w:tcPr>
          <w:p>
            <w:r/>
            <w:r>
              <w:rPr>
                <w:sz w:val="19"/>
              </w:rPr>
              <w:t>7%</w:t>
            </w:r>
          </w:p>
        </w:tc>
        <w:tc>
          <w:tcPr>
            <w:tcW w:type="dxa" w:w="1701"/>
          </w:tcPr>
          <w:p>
            <w:r/>
            <w:r>
              <w:rPr>
                <w:sz w:val="19"/>
              </w:rPr>
              <w:t>0</w:t>
            </w:r>
          </w:p>
        </w:tc>
      </w:tr>
    </w:tbl>
    <w:p/>
    <w:p>
      <w:pPr>
        <w:pStyle w:val="Heading1"/>
      </w:pPr>
      <w:r>
        <w:rPr>
          <w:color w:val="16324F"/>
        </w:rPr>
        <w:t>6. Change log</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7. Open items and recommendations</w:t>
      </w:r>
    </w:p>
    <w:p>
      <w:pPr>
        <w:pStyle w:val="ListBullet"/>
      </w:pPr>
      <w:r>
        <w:t>Replace the addresses of failing websites with their RSS feeds (see Source health).</w:t>
      </w:r>
    </w:p>
    <w:p>
      <w:pPr>
        <w:pStyle w:val="ListBullet"/>
      </w:pPr>
      <w:r>
        <w:t>Check that the ANTHROPIC_API_KEY secret is accepted (the first scan reported it as rejected).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