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16:34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(13:41 UTC)</w:t>
            </w:r>
          </w:p>
        </w:tc>
      </w:tr>
      <w:tr>
        <w:tc>
          <w:tcPr>
            <w:tcW w:type="dxa" w:w="4535"/>
            <w:shd w:val="clear" w:color="auto" w:fill="F3F5F7"/>
          </w:tcPr>
          <w:p>
            <w:r/>
            <w:r>
              <w:rPr>
                <w:sz w:val="19"/>
              </w:rPr>
              <w:t>Stories in latest digest</w:t>
            </w:r>
          </w:p>
        </w:tc>
        <w:tc>
          <w:tcPr>
            <w:tcW w:type="dxa" w:w="5102"/>
            <w:shd w:val="clear" w:color="auto" w:fill="F3F5F7"/>
          </w:tcPr>
          <w:p>
            <w:r/>
            <w:r>
              <w:rPr>
                <w:sz w:val="19"/>
              </w:rPr>
              <w:t>30</w:t>
            </w:r>
          </w:p>
        </w:tc>
      </w:tr>
      <w:tr>
        <w:tc>
          <w:tcPr>
            <w:tcW w:type="dxa" w:w="4535"/>
          </w:tcPr>
          <w:p>
            <w:r/>
            <w:r>
              <w:rPr>
                <w:sz w:val="19"/>
              </w:rPr>
              <w:t>New items scanned</w:t>
            </w:r>
          </w:p>
        </w:tc>
        <w:tc>
          <w:tcPr>
            <w:tcW w:type="dxa" w:w="5102"/>
          </w:tcPr>
          <w:p>
            <w:r/>
            <w:r>
              <w:rPr>
                <w:sz w:val="19"/>
              </w:rPr>
              <w:t>789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Search and AI assistant: </w:t>
      </w:r>
      <w:r>
        <w:t>search every archived story with filters, or ask the AI assistant, which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1 of 19 websites were read successfully; 18 failed (see Source health).</w:t>
      </w:r>
    </w:p>
    <w:p>
      <w:pPr>
        <w:spacing w:after="60"/>
      </w:pPr>
      <w:r>
        <w:rPr>
          <w:b/>
          <w:color w:val="1E7B4F"/>
        </w:rPr>
        <w:t xml:space="preserve">✔ </w:t>
      </w:r>
      <w:r>
        <w:t>Theme balance: 5 themes covered; the largest is Hazards &amp; Resilience with 18 of 30 stories (60%).</w:t>
      </w:r>
    </w:p>
    <w:p>
      <w:pPr>
        <w:spacing w:after="60"/>
      </w:pPr>
      <w:r>
        <w:rPr>
          <w:b/>
          <w:color w:val="5B6573"/>
        </w:rPr>
        <w:t xml:space="preserve">• </w:t>
      </w:r>
      <w:r>
        <w:t>23 different outlets contributed; the most frequent was Vietnam.vn (7 stories).</w:t>
      </w:r>
    </w:p>
    <w:p>
      <w:pPr>
        <w:spacing w:after="60"/>
      </w:pPr>
      <w:r>
        <w:rPr>
          <w:b/>
          <w:color w:val="5B6573"/>
        </w:rPr>
        <w:t xml:space="preserve">• </w:t>
      </w:r>
      <w:r>
        <w:t>21 stories came from non-English Google News editions.</w:t>
      </w:r>
    </w:p>
    <w:p>
      <w:pPr>
        <w:spacing w:after="60"/>
      </w:pPr>
      <w:r>
        <w:rPr>
          <w:b/>
          <w:color w:val="5B6573"/>
        </w:rPr>
        <w:t xml:space="preserve">• </w:t>
      </w:r>
      <w:r>
        <w:t>22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30</w:t>
            </w:r>
          </w:p>
        </w:tc>
        <w:tc>
          <w:tcPr>
            <w:tcW w:type="dxa" w:w="1417"/>
          </w:tcPr>
          <w:p>
            <w:r/>
            <w:r>
              <w:rPr>
                <w:sz w:val="19"/>
              </w:rPr>
              <w:t>1</w:t>
            </w:r>
          </w:p>
        </w:tc>
        <w:tc>
          <w:tcPr>
            <w:tcW w:type="dxa" w:w="1701"/>
          </w:tcPr>
          <w:p>
            <w:r/>
            <w:r>
              <w:rPr>
                <w:sz w:val="19"/>
              </w:rPr>
              <w:t>11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E9E5F9"/>
          </w:tcPr>
          <w:p>
            <w:r/>
            <w:r>
              <w:rPr>
                <w:b/>
                <w:color w:val="6B4FD6"/>
                <w:sz w:val="19"/>
              </w:rPr>
              <w:t>Digital Geotechnics</w:t>
            </w:r>
          </w:p>
        </w:tc>
        <w:tc>
          <w:tcPr>
            <w:tcW w:type="dxa" w:w="1417"/>
          </w:tcPr>
          <w:p>
            <w:r/>
            <w:r>
              <w:rPr>
                <w:sz w:val="19"/>
              </w:rPr>
              <w:t>1</w:t>
            </w:r>
          </w:p>
        </w:tc>
        <w:tc>
          <w:tcPr>
            <w:tcW w:type="dxa" w:w="1417"/>
          </w:tcPr>
          <w:p>
            <w:r/>
            <w:r>
              <w:rPr>
                <w:sz w:val="19"/>
              </w:rPr>
              <w:t>3%</w:t>
            </w:r>
          </w:p>
        </w:tc>
        <w:tc>
          <w:tcPr>
            <w:tcW w:type="dxa" w:w="1701"/>
          </w:tcPr>
          <w:p>
            <w:r/>
            <w:r>
              <w:rPr>
                <w:sz w:val="19"/>
              </w:rPr>
              <w:t>1</w:t>
            </w:r>
          </w:p>
        </w:tc>
      </w:tr>
      <w:tr>
        <w:tc>
          <w:tcPr>
            <w:tcW w:type="dxa" w:w="4535"/>
            <w:shd w:val="clear" w:color="auto" w:fill="FAE5DF"/>
          </w:tcPr>
          <w:p>
            <w:r/>
            <w:r>
              <w:rPr>
                <w:b/>
                <w:color w:val="E04F2C"/>
                <w:sz w:val="19"/>
              </w:rPr>
              <w:t>Hazards &amp; Resilience</w:t>
            </w:r>
          </w:p>
        </w:tc>
        <w:tc>
          <w:tcPr>
            <w:tcW w:type="dxa" w:w="1417"/>
            <w:shd w:val="clear" w:color="auto" w:fill="F3F5F7"/>
          </w:tcPr>
          <w:p>
            <w:r/>
            <w:r>
              <w:rPr>
                <w:sz w:val="19"/>
              </w:rPr>
              <w:t>18</w:t>
            </w:r>
          </w:p>
        </w:tc>
        <w:tc>
          <w:tcPr>
            <w:tcW w:type="dxa" w:w="1417"/>
            <w:shd w:val="clear" w:color="auto" w:fill="F3F5F7"/>
          </w:tcPr>
          <w:p>
            <w:r/>
            <w:r>
              <w:rPr>
                <w:sz w:val="19"/>
              </w:rPr>
              <w:t>60%</w:t>
            </w:r>
          </w:p>
        </w:tc>
        <w:tc>
          <w:tcPr>
            <w:tcW w:type="dxa" w:w="1701"/>
            <w:shd w:val="clear" w:color="auto" w:fill="F3F5F7"/>
          </w:tcPr>
          <w:p>
            <w:r/>
            <w:r>
              <w:rPr>
                <w:sz w:val="19"/>
              </w:rPr>
              <w:t>15</w:t>
            </w:r>
          </w:p>
        </w:tc>
      </w:tr>
      <w:tr>
        <w:tc>
          <w:tcPr>
            <w:tcW w:type="dxa" w:w="4535"/>
            <w:shd w:val="clear" w:color="auto" w:fill="DEE8F9"/>
          </w:tcPr>
          <w:p>
            <w:r/>
            <w:r>
              <w:rPr>
                <w:b/>
                <w:color w:val="2563D6"/>
                <w:sz w:val="19"/>
              </w:rPr>
              <w:t>Infrastructure &amp; the Underground City</w:t>
            </w:r>
          </w:p>
        </w:tc>
        <w:tc>
          <w:tcPr>
            <w:tcW w:type="dxa" w:w="1417"/>
          </w:tcPr>
          <w:p>
            <w:r/>
            <w:r>
              <w:rPr>
                <w:sz w:val="19"/>
              </w:rPr>
              <w:t>5</w:t>
            </w:r>
          </w:p>
        </w:tc>
        <w:tc>
          <w:tcPr>
            <w:tcW w:type="dxa" w:w="1417"/>
          </w:tcPr>
          <w:p>
            <w:r/>
            <w:r>
              <w:rPr>
                <w:sz w:val="19"/>
              </w:rPr>
              <w:t>17%</w:t>
            </w:r>
          </w:p>
        </w:tc>
        <w:tc>
          <w:tcPr>
            <w:tcW w:type="dxa" w:w="1701"/>
          </w:tcPr>
          <w:p>
            <w:r/>
            <w:r>
              <w:rPr>
                <w:sz w:val="19"/>
              </w:rPr>
              <w:t>2</w:t>
            </w:r>
          </w:p>
        </w:tc>
      </w:tr>
      <w:tr>
        <w:tc>
          <w:tcPr>
            <w:tcW w:type="dxa" w:w="4535"/>
            <w:shd w:val="clear" w:color="auto" w:fill="F6E2EB"/>
          </w:tcPr>
          <w:p>
            <w:r/>
            <w:r>
              <w:rPr>
                <w:b/>
                <w:color w:val="C23D7B"/>
                <w:sz w:val="19"/>
              </w:rPr>
              <w:t>Characterisation &amp; Modelling</w:t>
            </w:r>
          </w:p>
        </w:tc>
        <w:tc>
          <w:tcPr>
            <w:tcW w:type="dxa" w:w="1417"/>
            <w:shd w:val="clear" w:color="auto" w:fill="F3F5F7"/>
          </w:tcPr>
          <w:p>
            <w:r/>
            <w:r>
              <w:rPr>
                <w:sz w:val="19"/>
              </w:rPr>
              <w:t>4</w:t>
            </w:r>
          </w:p>
        </w:tc>
        <w:tc>
          <w:tcPr>
            <w:tcW w:type="dxa" w:w="1417"/>
            <w:shd w:val="clear" w:color="auto" w:fill="F3F5F7"/>
          </w:tcPr>
          <w:p>
            <w:r/>
            <w:r>
              <w:rPr>
                <w:sz w:val="19"/>
              </w:rPr>
              <w:t>13%</w:t>
            </w:r>
          </w:p>
        </w:tc>
        <w:tc>
          <w:tcPr>
            <w:tcW w:type="dxa" w:w="1701"/>
            <w:shd w:val="clear" w:color="auto" w:fill="F3F5F7"/>
          </w:tcPr>
          <w:p>
            <w:r/>
            <w:r>
              <w:rPr>
                <w:sz w:val="19"/>
              </w:rPr>
              <w:t>4</w:t>
            </w:r>
          </w:p>
        </w:tc>
      </w:tr>
      <w:tr>
        <w:tc>
          <w:tcPr>
            <w:tcW w:type="dxa" w:w="4535"/>
            <w:shd w:val="clear" w:color="auto" w:fill="EDE6DF"/>
          </w:tcPr>
          <w:p>
            <w:r/>
            <w:r>
              <w:rPr>
                <w:b/>
                <w:color w:val="8A5A2B"/>
                <w:sz w:val="19"/>
              </w:rPr>
              <w:t>Geotechnics &amp; Society</w:t>
            </w:r>
          </w:p>
        </w:tc>
        <w:tc>
          <w:tcPr>
            <w:tcW w:type="dxa" w:w="1417"/>
          </w:tcPr>
          <w:p>
            <w:r/>
            <w:r>
              <w:rPr>
                <w:sz w:val="19"/>
              </w:rPr>
              <w:t>2</w:t>
            </w:r>
          </w:p>
        </w:tc>
        <w:tc>
          <w:tcPr>
            <w:tcW w:type="dxa" w:w="1417"/>
          </w:tcPr>
          <w:p>
            <w:r/>
            <w:r>
              <w:rPr>
                <w:sz w:val="19"/>
              </w:rPr>
              <w:t>7%</w:t>
            </w:r>
          </w:p>
        </w:tc>
        <w:tc>
          <w:tcPr>
            <w:tcW w:type="dxa" w:w="1701"/>
          </w:tcPr>
          <w:p>
            <w:r/>
            <w:r>
              <w:rPr>
                <w:sz w:val="19"/>
              </w:rPr>
              <w:t>0</w:t>
            </w:r>
          </w:p>
        </w:tc>
      </w:tr>
    </w:tbl>
    <w:p/>
    <w:p>
      <w:pPr>
        <w:pStyle w:val="Heading1"/>
      </w:pPr>
      <w:r>
        <w:rPr>
          <w:color w:val="16324F"/>
        </w:rPr>
        <w:t>6. Research papers (Q4 2026)</w:t>
      </w:r>
    </w:p>
    <w:p>
      <w:r>
        <w:t>No research papers have been collected in this issue window yet.</w:t>
      </w:r>
    </w:p>
    <w:p>
      <w:pPr>
        <w:pStyle w:val="Heading1"/>
      </w:pPr>
      <w:r>
        <w:rPr>
          <w:color w:val="16324F"/>
        </w:rPr>
        <w:t>7. Issue briefs</w:t>
      </w:r>
    </w:p>
    <w:p>
      <w:r>
        <w:t>No issue brief has been generated yet. Drafts appear automatically in the last weeks of each quarter, a final brief right after it closes, and any time from the issue page.</w:t>
      </w:r>
    </w:p>
    <w:p>
      <w:pPr>
        <w:pStyle w:val="Heading1"/>
      </w:pPr>
      <w:r>
        <w:rPr>
          <w:color w:val="16324F"/>
        </w:rPr>
        <w:t>8. Change log</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9. Open items and recommendations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