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29 October 2026, 12:49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2026-10-29 (07:53 UTC)</w:t>
            </w:r>
          </w:p>
        </w:tc>
      </w:tr>
      <w:tr>
        <w:tc>
          <w:tcPr>
            <w:tcW w:type="dxa" w:w="4535"/>
            <w:shd w:val="clear" w:color="auto" w:fill="F3F5F7"/>
          </w:tcPr>
          <w:p>
            <w:r/>
            <w:r>
              <w:rPr>
                <w:sz w:val="19"/>
              </w:rPr>
              <w:t>Stories in latest digest</w:t>
            </w:r>
          </w:p>
        </w:tc>
        <w:tc>
          <w:tcPr>
            <w:tcW w:type="dxa" w:w="5102"/>
            <w:shd w:val="clear" w:color="auto" w:fill="F3F5F7"/>
          </w:tcPr>
          <w:p>
            <w:r/>
            <w:r>
              <w:rPr>
                <w:sz w:val="19"/>
              </w:rPr>
              <w:t>38</w:t>
            </w:r>
          </w:p>
        </w:tc>
      </w:tr>
      <w:tr>
        <w:tc>
          <w:tcPr>
            <w:tcW w:type="dxa" w:w="4535"/>
          </w:tcPr>
          <w:p>
            <w:r/>
            <w:r>
              <w:rPr>
                <w:sz w:val="19"/>
              </w:rPr>
              <w:t>New items scanned</w:t>
            </w:r>
          </w:p>
        </w:tc>
        <w:tc>
          <w:tcPr>
            <w:tcW w:type="dxa" w:w="5102"/>
          </w:tcPr>
          <w:p>
            <w:r/>
            <w:r>
              <w:rPr>
                <w:sz w:val="19"/>
              </w:rPr>
              <w:t>779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274</w:t>
            </w:r>
          </w:p>
        </w:tc>
      </w:tr>
      <w:tr>
        <w:tc>
          <w:tcPr>
            <w:tcW w:type="dxa" w:w="4535"/>
            <w:shd w:val="clear" w:color="auto" w:fill="F3F5F7"/>
          </w:tcPr>
          <w:p>
            <w:r/>
            <w:r>
              <w:rPr>
                <w:sz w:val="19"/>
              </w:rPr>
              <w:t>Daily digests archived</w:t>
            </w:r>
          </w:p>
        </w:tc>
        <w:tc>
          <w:tcPr>
            <w:tcW w:type="dxa" w:w="5102"/>
            <w:shd w:val="clear" w:color="auto" w:fill="F3F5F7"/>
          </w:tcPr>
          <w:p>
            <w:r/>
            <w:r>
              <w:rPr>
                <w:sz w:val="19"/>
              </w:rPr>
              <w:t>6</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256 of 274</w:t>
            </w:r>
          </w:p>
        </w:tc>
      </w:tr>
      <w:tr>
        <w:tc>
          <w:tcPr>
            <w:tcW w:type="dxa" w:w="4535"/>
          </w:tcPr>
          <w:p>
            <w:r/>
            <w:r>
              <w:rPr>
                <w:sz w:val="19"/>
              </w:rPr>
              <w:t>Developing stories (two or more reports)</w:t>
            </w:r>
          </w:p>
        </w:tc>
        <w:tc>
          <w:tcPr>
            <w:tcW w:type="dxa" w:w="5102"/>
          </w:tcPr>
          <w:p>
            <w:r/>
            <w:r>
              <w:rPr>
                <w:sz w:val="19"/>
              </w:rPr>
              <w:t>30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1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 world map of where the events take place,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(the round Ask AI button at the bottom right of every page),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18 of 19 websites were read successfully; 1 failed (see Source health).</w:t>
      </w:r>
    </w:p>
    <w:p>
      <w:pPr>
        <w:spacing w:after="60"/>
      </w:pPr>
      <w:r>
        <w:rPr>
          <w:b/>
          <w:color w:val="1E7B4F"/>
        </w:rPr>
        <w:t xml:space="preserve">✔ </w:t>
      </w:r>
      <w:r>
        <w:t>Theme balance: 8 themes covered; the largest is Hazards &amp; Resilience with 17 of 38 stories (45%).</w:t>
      </w:r>
    </w:p>
    <w:p>
      <w:pPr>
        <w:spacing w:after="60"/>
      </w:pPr>
      <w:r>
        <w:rPr>
          <w:b/>
          <w:color w:val="5B6573"/>
        </w:rPr>
        <w:t xml:space="preserve">• </w:t>
      </w:r>
      <w:r>
        <w:t>33 different outlets contributed; the most frequent was Ground Engineering (3 stories).</w:t>
      </w:r>
    </w:p>
    <w:p>
      <w:pPr>
        <w:spacing w:after="60"/>
      </w:pPr>
      <w:r>
        <w:rPr>
          <w:b/>
          <w:color w:val="5B6573"/>
        </w:rPr>
        <w:t xml:space="preserve">• </w:t>
      </w:r>
      <w:r>
        <w:t>26 stories came from non-English Google News editions.</w:t>
      </w:r>
    </w:p>
    <w:p>
      <w:pPr>
        <w:spacing w:after="60"/>
      </w:pPr>
      <w:r>
        <w:rPr>
          <w:b/>
          <w:color w:val="5B6573"/>
        </w:rPr>
        <w:t xml:space="preserve">• </w:t>
      </w:r>
      <w:r>
        <w:t>17 stories were rated 4 or 5 out of 5.</w:t>
      </w:r>
    </w:p>
    <w:p>
      <w:pPr>
        <w:spacing w:after="60"/>
      </w:pPr>
      <w:r>
        <w:rPr>
          <w:b/>
          <w:color w:val="5B6573"/>
        </w:rPr>
        <w:t xml:space="preserve">• </w:t>
      </w:r>
      <w:r>
        <w:t>34 of the 38 rated stories name a primary source to check the facts with.</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Deep Foundations Institute</w:t>
            </w:r>
          </w:p>
        </w:tc>
        <w:tc>
          <w:tcPr>
            <w:tcW w:type="dxa" w:w="3118"/>
          </w:tcPr>
          <w:p>
            <w:r/>
            <w:r>
              <w:rPr>
                <w:sz w:val="19"/>
              </w:rPr>
              <w:t>HTTPSConnectionPool(host='www.dfi.org', port=443): Max retries exceeded with url: / (Cause</w:t>
            </w:r>
          </w:p>
        </w:tc>
        <w:tc>
          <w:tcPr>
            <w:tcW w:type="dxa" w:w="4252"/>
          </w:tcPr>
          <w:p>
            <w:r/>
            <w:r>
              <w:rPr>
                <w:sz w:val="19"/>
              </w:rPr>
              <w:t>The site did not answer. If it fails again on the next scans, replace or remove it.</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6</w:t>
            </w:r>
          </w:p>
        </w:tc>
        <w:tc>
          <w:tcPr>
            <w:tcW w:type="dxa" w:w="1134"/>
          </w:tcPr>
          <w:p>
            <w:r/>
            <w:r>
              <w:rPr>
                <w:sz w:val="19"/>
              </w:rPr>
              <w:t>274</w:t>
            </w:r>
          </w:p>
        </w:tc>
        <w:tc>
          <w:tcPr>
            <w:tcW w:type="dxa" w:w="1417"/>
          </w:tcPr>
          <w:p>
            <w:r/>
            <w:r>
              <w:rPr>
                <w:sz w:val="19"/>
              </w:rPr>
              <w:t>21</w:t>
            </w:r>
          </w:p>
        </w:tc>
        <w:tc>
          <w:tcPr>
            <w:tcW w:type="dxa" w:w="1701"/>
          </w:tcPr>
          <w:p>
            <w:r/>
            <w:r>
              <w:rPr>
                <w:sz w:val="19"/>
              </w:rPr>
              <w:t>99</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5</w:t>
            </w:r>
          </w:p>
        </w:tc>
        <w:tc>
          <w:tcPr>
            <w:tcW w:type="dxa" w:w="1417"/>
          </w:tcPr>
          <w:p>
            <w:r/>
            <w:r>
              <w:rPr>
                <w:sz w:val="19"/>
              </w:rPr>
              <w:t>2%</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9</w:t>
            </w:r>
          </w:p>
        </w:tc>
        <w:tc>
          <w:tcPr>
            <w:tcW w:type="dxa" w:w="1417"/>
            <w:shd w:val="clear" w:color="auto" w:fill="F3F5F7"/>
          </w:tcPr>
          <w:p>
            <w:r/>
            <w:r>
              <w:rPr>
                <w:sz w:val="19"/>
              </w:rPr>
              <w:t>3%</w:t>
            </w:r>
          </w:p>
        </w:tc>
        <w:tc>
          <w:tcPr>
            <w:tcW w:type="dxa" w:w="1701"/>
            <w:shd w:val="clear" w:color="auto" w:fill="F3F5F7"/>
          </w:tcPr>
          <w:p>
            <w:r/>
            <w:r>
              <w:rPr>
                <w:sz w:val="19"/>
              </w:rPr>
              <w:t>5</w:t>
            </w:r>
          </w:p>
        </w:tc>
      </w:tr>
      <w:tr>
        <w:tc>
          <w:tcPr>
            <w:tcW w:type="dxa" w:w="4535"/>
            <w:shd w:val="clear" w:color="auto" w:fill="FAE5DF"/>
          </w:tcPr>
          <w:p>
            <w:r/>
            <w:r>
              <w:rPr>
                <w:b/>
                <w:color w:val="E04F2C"/>
                <w:sz w:val="19"/>
              </w:rPr>
              <w:t>Hazards &amp; Resilience</w:t>
            </w:r>
          </w:p>
        </w:tc>
        <w:tc>
          <w:tcPr>
            <w:tcW w:type="dxa" w:w="1417"/>
          </w:tcPr>
          <w:p>
            <w:r/>
            <w:r>
              <w:rPr>
                <w:sz w:val="19"/>
              </w:rPr>
              <w:t>106</w:t>
            </w:r>
          </w:p>
        </w:tc>
        <w:tc>
          <w:tcPr>
            <w:tcW w:type="dxa" w:w="1417"/>
          </w:tcPr>
          <w:p>
            <w:r/>
            <w:r>
              <w:rPr>
                <w:sz w:val="19"/>
              </w:rPr>
              <w:t>39%</w:t>
            </w:r>
          </w:p>
        </w:tc>
        <w:tc>
          <w:tcPr>
            <w:tcW w:type="dxa" w:w="1701"/>
          </w:tcPr>
          <w:p>
            <w:r/>
            <w:r>
              <w:rPr>
                <w:sz w:val="19"/>
              </w:rPr>
              <w:t>89</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6</w:t>
            </w:r>
          </w:p>
        </w:tc>
        <w:tc>
          <w:tcPr>
            <w:tcW w:type="dxa" w:w="1417"/>
            <w:shd w:val="clear" w:color="auto" w:fill="F3F5F7"/>
          </w:tcPr>
          <w:p>
            <w:r/>
            <w:r>
              <w:rPr>
                <w:sz w:val="19"/>
              </w:rPr>
              <w:t>2%</w:t>
            </w:r>
          </w:p>
        </w:tc>
        <w:tc>
          <w:tcPr>
            <w:tcW w:type="dxa" w:w="1701"/>
            <w:shd w:val="clear" w:color="auto" w:fill="F3F5F7"/>
          </w:tcPr>
          <w:p>
            <w:r/>
            <w:r>
              <w:rPr>
                <w:sz w:val="19"/>
              </w:rPr>
              <w:t>5</w:t>
            </w:r>
          </w:p>
        </w:tc>
      </w:tr>
      <w:tr>
        <w:tc>
          <w:tcPr>
            <w:tcW w:type="dxa" w:w="4535"/>
            <w:shd w:val="clear" w:color="auto" w:fill="DEE8F9"/>
          </w:tcPr>
          <w:p>
            <w:r/>
            <w:r>
              <w:rPr>
                <w:b/>
                <w:color w:val="2563D6"/>
                <w:sz w:val="19"/>
              </w:rPr>
              <w:t>Infrastructure &amp; the Underground City</w:t>
            </w:r>
          </w:p>
        </w:tc>
        <w:tc>
          <w:tcPr>
            <w:tcW w:type="dxa" w:w="1417"/>
          </w:tcPr>
          <w:p>
            <w:r/>
            <w:r>
              <w:rPr>
                <w:sz w:val="19"/>
              </w:rPr>
              <w:t>98</w:t>
            </w:r>
          </w:p>
        </w:tc>
        <w:tc>
          <w:tcPr>
            <w:tcW w:type="dxa" w:w="1417"/>
          </w:tcPr>
          <w:p>
            <w:r/>
            <w:r>
              <w:rPr>
                <w:sz w:val="19"/>
              </w:rPr>
              <w:t>36%</w:t>
            </w:r>
          </w:p>
        </w:tc>
        <w:tc>
          <w:tcPr>
            <w:tcW w:type="dxa" w:w="1701"/>
          </w:tcPr>
          <w:p>
            <w:r/>
            <w:r>
              <w:rPr>
                <w:sz w:val="19"/>
              </w:rPr>
              <w:t>42</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25</w:t>
            </w:r>
          </w:p>
        </w:tc>
        <w:tc>
          <w:tcPr>
            <w:tcW w:type="dxa" w:w="1417"/>
            <w:shd w:val="clear" w:color="auto" w:fill="F3F5F7"/>
          </w:tcPr>
          <w:p>
            <w:r/>
            <w:r>
              <w:rPr>
                <w:sz w:val="19"/>
              </w:rPr>
              <w:t>9%</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17</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8</w:t>
            </w:r>
          </w:p>
        </w:tc>
        <w:tc>
          <w:tcPr>
            <w:tcW w:type="dxa" w:w="1417"/>
            <w:shd w:val="clear" w:color="auto" w:fill="F3F5F7"/>
          </w:tcPr>
          <w:p>
            <w:r/>
            <w:r>
              <w:rPr>
                <w:sz w:val="19"/>
              </w:rPr>
              <w:t>3%</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256 of 274 stories are located in a country of one of ISSMGE's six regions; 18 are global or about several countries and 0 have no location yet. 29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4</w:t>
            </w:r>
          </w:p>
        </w:tc>
        <w:tc>
          <w:tcPr>
            <w:tcW w:type="dxa" w:w="1814"/>
          </w:tcPr>
          <w:p>
            <w:r/>
            <w:r>
              <w:rPr>
                <w:sz w:val="19"/>
              </w:rPr>
              <w:t>3 of 8</w:t>
            </w:r>
          </w:p>
        </w:tc>
        <w:tc>
          <w:tcPr>
            <w:tcW w:type="dxa" w:w="4989"/>
          </w:tcPr>
          <w:p>
            <w:r/>
            <w:r>
              <w:rPr>
                <w:sz w:val="19"/>
              </w:rPr>
              <w:t>Morocco, Nigeria, Tunisia, Zambia, Zimbabwe</w:t>
            </w:r>
          </w:p>
        </w:tc>
      </w:tr>
      <w:tr>
        <w:tc>
          <w:tcPr>
            <w:tcW w:type="dxa" w:w="1814"/>
            <w:shd w:val="clear" w:color="auto" w:fill="F3F5F7"/>
          </w:tcPr>
          <w:p>
            <w:r/>
            <w:r>
              <w:rPr>
                <w:sz w:val="19"/>
              </w:rPr>
              <w:t>Asia</w:t>
            </w:r>
          </w:p>
        </w:tc>
        <w:tc>
          <w:tcPr>
            <w:tcW w:type="dxa" w:w="1020"/>
            <w:shd w:val="clear" w:color="auto" w:fill="F3F5F7"/>
          </w:tcPr>
          <w:p>
            <w:r/>
            <w:r>
              <w:rPr>
                <w:sz w:val="19"/>
              </w:rPr>
              <w:t>105</w:t>
            </w:r>
          </w:p>
        </w:tc>
        <w:tc>
          <w:tcPr>
            <w:tcW w:type="dxa" w:w="1814"/>
            <w:shd w:val="clear" w:color="auto" w:fill="F3F5F7"/>
          </w:tcPr>
          <w:p>
            <w:r/>
            <w:r>
              <w:rPr>
                <w:sz w:val="19"/>
              </w:rPr>
              <w:t>7 of 26</w:t>
            </w:r>
          </w:p>
        </w:tc>
        <w:tc>
          <w:tcPr>
            <w:tcW w:type="dxa" w:w="4989"/>
            <w:shd w:val="clear" w:color="auto" w:fill="F3F5F7"/>
          </w:tcPr>
          <w:p>
            <w:r/>
            <w:r>
              <w:rPr>
                <w:sz w:val="19"/>
              </w:rPr>
              <w:t>Bangladesh,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3</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43</w:t>
            </w:r>
          </w:p>
        </w:tc>
        <w:tc>
          <w:tcPr>
            <w:tcW w:type="dxa" w:w="1814"/>
            <w:shd w:val="clear" w:color="auto" w:fill="F3F5F7"/>
          </w:tcPr>
          <w:p>
            <w:r/>
            <w:r>
              <w:rPr>
                <w:sz w:val="19"/>
              </w:rPr>
              <w:t>10 of 37</w:t>
            </w:r>
          </w:p>
        </w:tc>
        <w:tc>
          <w:tcPr>
            <w:tcW w:type="dxa" w:w="4989"/>
            <w:shd w:val="clear" w:color="auto" w:fill="F3F5F7"/>
          </w:tcPr>
          <w:p>
            <w:r/>
            <w:r>
              <w:rPr>
                <w:sz w:val="19"/>
              </w:rPr>
              <w:t>Austria, Belgium, Bosnia and Herzegovina, Bulgaria, Croatia, Cyprus, Czechia, Estonia, Finland, Georgia, Germany, Greece, Hungary, Iceland, Ireland, Israel, Latvia, Lithuania, Netherlands, North Macedonia, Norway, Portugal, Serbia, Slovakia, Slovenia, Sweden, Switzerland</w:t>
            </w:r>
          </w:p>
        </w:tc>
      </w:tr>
      <w:tr>
        <w:tc>
          <w:tcPr>
            <w:tcW w:type="dxa" w:w="1814"/>
          </w:tcPr>
          <w:p>
            <w:r/>
            <w:r>
              <w:rPr>
                <w:sz w:val="19"/>
              </w:rPr>
              <w:t>North America</w:t>
            </w:r>
          </w:p>
        </w:tc>
        <w:tc>
          <w:tcPr>
            <w:tcW w:type="dxa" w:w="1020"/>
          </w:tcPr>
          <w:p>
            <w:r/>
            <w:r>
              <w:rPr>
                <w:sz w:val="19"/>
              </w:rPr>
              <w:t>51</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50</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30 developing stories link 84 reports; 30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9</w:t>
            </w:r>
          </w:p>
        </w:tc>
        <w:tc>
          <w:tcPr>
            <w:tcW w:type="dxa" w:w="1191"/>
          </w:tcPr>
          <w:p>
            <w:r/>
            <w:r>
              <w:rPr>
                <w:sz w:val="19"/>
              </w:rPr>
              <w:t>25 Oct 2026</w:t>
            </w:r>
          </w:p>
        </w:tc>
        <w:tc>
          <w:tcPr>
            <w:tcW w:type="dxa" w:w="1191"/>
          </w:tcPr>
          <w:p>
            <w:r/>
            <w:r>
              <w:rPr>
                <w:sz w:val="19"/>
              </w:rPr>
              <w:t>27 Oct 2026</w:t>
            </w:r>
          </w:p>
        </w:tc>
        <w:tc>
          <w:tcPr>
            <w:tcW w:type="dxa" w:w="1361"/>
          </w:tcPr>
          <w:p>
            <w:r/>
            <w:r>
              <w:rPr>
                <w:sz w:val="19"/>
              </w:rPr>
              <w:t>Response &amp; recovery</w:t>
            </w:r>
          </w:p>
        </w:tc>
      </w:tr>
      <w:tr>
        <w:tc>
          <w:tcPr>
            <w:tcW w:type="dxa" w:w="3061"/>
            <w:shd w:val="clear" w:color="auto" w:fill="F3F5F7"/>
          </w:tcPr>
          <w:p>
            <w:r/>
            <w:r>
              <w:rPr>
                <w:sz w:val="19"/>
              </w:rPr>
              <w:t>Canadian permafrost landslide study (Oct 2026)</w:t>
            </w:r>
          </w:p>
        </w:tc>
        <w:tc>
          <w:tcPr>
            <w:tcW w:type="dxa" w:w="1928"/>
            <w:shd w:val="clear" w:color="auto" w:fill="F3F5F7"/>
          </w:tcPr>
          <w:p>
            <w:r/>
            <w:r>
              <w:rPr>
                <w:sz w:val="19"/>
              </w:rPr>
              <w:t>Canada</w:t>
            </w:r>
          </w:p>
        </w:tc>
        <w:tc>
          <w:tcPr>
            <w:tcW w:type="dxa" w:w="907"/>
            <w:shd w:val="clear" w:color="auto" w:fill="F3F5F7"/>
          </w:tcPr>
          <w:p>
            <w:r/>
            <w:r>
              <w:rPr>
                <w:sz w:val="19"/>
              </w:rPr>
              <w:t>5</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Investigation &amp; inquiry</w:t>
            </w:r>
          </w:p>
        </w:tc>
      </w:tr>
      <w:tr>
        <w:tc>
          <w:tcPr>
            <w:tcW w:type="dxa" w:w="3061"/>
          </w:tcPr>
          <w:p>
            <w:r/>
            <w:r>
              <w:rPr>
                <w:sz w:val="19"/>
              </w:rPr>
              <w:t>Mazatlán malecón wave sinkhole, Mexico (Oct 2026)</w:t>
            </w:r>
          </w:p>
        </w:tc>
        <w:tc>
          <w:tcPr>
            <w:tcW w:type="dxa" w:w="1928"/>
          </w:tcPr>
          <w:p>
            <w:r/>
            <w:r>
              <w:rPr>
                <w:sz w:val="19"/>
              </w:rPr>
              <w:t>Monumento a la Mujer Mazatleca, Mazatlán, Mexico</w:t>
            </w:r>
          </w:p>
        </w:tc>
        <w:tc>
          <w:tcPr>
            <w:tcW w:type="dxa" w:w="907"/>
          </w:tcPr>
          <w:p>
            <w:r/>
            <w:r>
              <w:rPr>
                <w:sz w:val="19"/>
              </w:rPr>
              <w:t>5</w:t>
            </w:r>
          </w:p>
        </w:tc>
        <w:tc>
          <w:tcPr>
            <w:tcW w:type="dxa" w:w="1191"/>
          </w:tcPr>
          <w:p>
            <w:r/>
            <w:r>
              <w:rPr>
                <w:sz w:val="19"/>
              </w:rPr>
              <w:t>23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5</w:t>
            </w:r>
          </w:p>
        </w:tc>
        <w:tc>
          <w:tcPr>
            <w:tcW w:type="dxa" w:w="1191"/>
            <w:shd w:val="clear" w:color="auto" w:fill="F3F5F7"/>
          </w:tcPr>
          <w:p>
            <w:r/>
            <w:r>
              <w:rPr>
                <w:sz w:val="19"/>
              </w:rPr>
              <w:t>22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5</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Senapred declares Red Alert in the Metropolitan Region: the 10 commun… (Oct 2026)</w:t>
            </w:r>
          </w:p>
        </w:tc>
        <w:tc>
          <w:tcPr>
            <w:tcW w:type="dxa" w:w="1928"/>
            <w:shd w:val="clear" w:color="auto" w:fill="F3F5F7"/>
          </w:tcPr>
          <w:p>
            <w:r/>
            <w:r>
              <w:rPr>
                <w:sz w:val="19"/>
              </w:rPr>
              <w:t>Región Metropolitana, Santiago, Chile</w:t>
            </w:r>
          </w:p>
        </w:tc>
        <w:tc>
          <w:tcPr>
            <w:tcW w:type="dxa" w:w="907"/>
            <w:shd w:val="clear" w:color="auto" w:fill="F3F5F7"/>
          </w:tcPr>
          <w:p>
            <w:r/>
            <w:r>
              <w:rPr>
                <w:sz w:val="19"/>
              </w:rPr>
              <w:t>4</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Response &amp; recovery</w:t>
            </w:r>
          </w:p>
        </w:tc>
      </w:tr>
      <w:tr>
        <w:tc>
          <w:tcPr>
            <w:tcW w:type="dxa" w:w="3061"/>
          </w:tcPr>
          <w:p>
            <w:r/>
            <w:r>
              <w:rPr>
                <w:sz w:val="19"/>
              </w:rPr>
              <w:t>Prenn Pass slope collapses, Da Lat, Vietnam</w:t>
            </w:r>
          </w:p>
        </w:tc>
        <w:tc>
          <w:tcPr>
            <w:tcW w:type="dxa" w:w="1928"/>
          </w:tcPr>
          <w:p>
            <w:r/>
            <w:r>
              <w:rPr>
                <w:sz w:val="19"/>
              </w:rPr>
              <w:t>Prenn Pass, Da Lat, Vietnam</w:t>
            </w:r>
          </w:p>
        </w:tc>
        <w:tc>
          <w:tcPr>
            <w:tcW w:type="dxa" w:w="907"/>
          </w:tcPr>
          <w:p>
            <w:r/>
            <w:r>
              <w:rPr>
                <w:sz w:val="19"/>
              </w:rPr>
              <w:t>3</w:t>
            </w:r>
          </w:p>
        </w:tc>
        <w:tc>
          <w:tcPr>
            <w:tcW w:type="dxa" w:w="1191"/>
          </w:tcPr>
          <w:p>
            <w:r/>
            <w:r>
              <w:rPr>
                <w:sz w:val="19"/>
              </w:rPr>
              <w:t>27 Oct 2026</w:t>
            </w:r>
          </w:p>
        </w:tc>
        <w:tc>
          <w:tcPr>
            <w:tcW w:type="dxa" w:w="1191"/>
          </w:tcPr>
          <w:p>
            <w:r/>
            <w:r>
              <w:rPr>
                <w:sz w:val="19"/>
              </w:rPr>
              <w:t>29 Oct 2026</w:t>
            </w:r>
          </w:p>
        </w:tc>
        <w:tc>
          <w:tcPr>
            <w:tcW w:type="dxa" w:w="1361"/>
          </w:tcPr>
          <w:p>
            <w:r/>
            <w:r>
              <w:rPr>
                <w:sz w:val="19"/>
              </w:rPr>
              <w:t>Repair &amp; reconstruction</w:t>
            </w:r>
          </w:p>
        </w:tc>
      </w:tr>
      <w:tr>
        <w:tc>
          <w:tcPr>
            <w:tcW w:type="dxa" w:w="3061"/>
            <w:shd w:val="clear" w:color="auto" w:fill="F3F5F7"/>
          </w:tcPr>
          <w:p>
            <w:r/>
            <w:r>
              <w:rPr>
                <w:sz w:val="19"/>
              </w:rPr>
              <w:t>Occidental Cozumel hotel sinkhole, Mexico (Oct 2026)</w:t>
            </w:r>
          </w:p>
        </w:tc>
        <w:tc>
          <w:tcPr>
            <w:tcW w:type="dxa" w:w="1928"/>
            <w:shd w:val="clear" w:color="auto" w:fill="F3F5F7"/>
          </w:tcPr>
          <w:p>
            <w:r/>
            <w:r>
              <w:rPr>
                <w:sz w:val="19"/>
              </w:rPr>
              <w:t>Cozumel, Quintana Roo, Mexico</w:t>
            </w:r>
          </w:p>
        </w:tc>
        <w:tc>
          <w:tcPr>
            <w:tcW w:type="dxa" w:w="907"/>
            <w:shd w:val="clear" w:color="auto" w:fill="F3F5F7"/>
          </w:tcPr>
          <w:p>
            <w:r/>
            <w:r>
              <w:rPr>
                <w:sz w:val="19"/>
              </w:rPr>
              <w:t>3</w:t>
            </w:r>
          </w:p>
        </w:tc>
        <w:tc>
          <w:tcPr>
            <w:tcW w:type="dxa" w:w="1191"/>
            <w:shd w:val="clear" w:color="auto" w:fill="F3F5F7"/>
          </w:tcPr>
          <w:p>
            <w:r/>
            <w:r>
              <w:rPr>
                <w:sz w:val="19"/>
              </w:rPr>
              <w:t>24 Oct 2026</w:t>
            </w:r>
          </w:p>
        </w:tc>
        <w:tc>
          <w:tcPr>
            <w:tcW w:type="dxa" w:w="1191"/>
            <w:shd w:val="clear" w:color="auto" w:fill="F3F5F7"/>
          </w:tcPr>
          <w:p>
            <w:r/>
            <w:r>
              <w:rPr>
                <w:sz w:val="19"/>
              </w:rPr>
              <w:t>25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Shuvalovsky Avenue metro shaft, St Petersburg</w:t>
            </w:r>
          </w:p>
        </w:tc>
        <w:tc>
          <w:tcPr>
            <w:tcW w:type="dxa" w:w="1928"/>
            <w:shd w:val="clear" w:color="auto" w:fill="F3F5F7"/>
          </w:tcPr>
          <w:p>
            <w:r/>
            <w:r>
              <w:rPr>
                <w:sz w:val="19"/>
              </w:rPr>
              <w:t>Shuvalovsky Avenue, St Petersburg, Russia</w:t>
            </w:r>
          </w:p>
        </w:tc>
        <w:tc>
          <w:tcPr>
            <w:tcW w:type="dxa" w:w="907"/>
            <w:shd w:val="clear" w:color="auto" w:fill="F3F5F7"/>
          </w:tcPr>
          <w:p>
            <w:r/>
            <w:r>
              <w:rPr>
                <w:sz w:val="19"/>
              </w:rPr>
              <w:t>2</w:t>
            </w:r>
          </w:p>
        </w:tc>
        <w:tc>
          <w:tcPr>
            <w:tcW w:type="dxa" w:w="1191"/>
            <w:shd w:val="clear" w:color="auto" w:fill="F3F5F7"/>
          </w:tcPr>
          <w:p>
            <w:r/>
            <w:r>
              <w:rPr>
                <w:sz w:val="19"/>
              </w:rPr>
              <w:t>28 Oct 2026</w:t>
            </w:r>
          </w:p>
        </w:tc>
        <w:tc>
          <w:tcPr>
            <w:tcW w:type="dxa" w:w="1191"/>
            <w:shd w:val="clear" w:color="auto" w:fill="F3F5F7"/>
          </w:tcPr>
          <w:p>
            <w:r/>
            <w:r>
              <w:rPr>
                <w:sz w:val="19"/>
              </w:rPr>
              <w:t>29 Oct 2026</w:t>
            </w:r>
          </w:p>
        </w:tc>
        <w:tc>
          <w:tcPr>
            <w:tcW w:type="dxa" w:w="1361"/>
            <w:shd w:val="clear" w:color="auto" w:fill="F3F5F7"/>
          </w:tcPr>
          <w:p>
            <w:r/>
            <w:r>
              <w:rPr>
                <w:sz w:val="19"/>
              </w:rPr>
              <w:t>Update</w:t>
            </w:r>
          </w:p>
        </w:tc>
      </w:tr>
    </w:tbl>
    <w:p/>
    <w:p>
      <w:pPr>
        <w:pStyle w:val="Heading1"/>
      </w:pPr>
      <w:r>
        <w:rPr>
          <w:color w:val="16324F"/>
        </w:rPr>
        <w:t>8. Research papers (Q4 2026)</w:t>
      </w:r>
    </w:p>
    <w:p>
      <w:r>
        <w:t>80 new papers from 20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Soil Dynamics and Earthquake Engineering</w:t>
            </w:r>
          </w:p>
        </w:tc>
        <w:tc>
          <w:tcPr>
            <w:tcW w:type="dxa" w:w="1701"/>
          </w:tcPr>
          <w:p>
            <w:r/>
            <w:r>
              <w:rPr>
                <w:sz w:val="19"/>
              </w:rPr>
              <w:t>9</w:t>
            </w:r>
          </w:p>
        </w:tc>
      </w:tr>
      <w:tr>
        <w:tc>
          <w:tcPr>
            <w:tcW w:type="dxa" w:w="6803"/>
            <w:shd w:val="clear" w:color="auto" w:fill="F3F5F7"/>
          </w:tcPr>
          <w:p>
            <w:r/>
            <w:r>
              <w:rPr>
                <w:sz w:val="19"/>
              </w:rPr>
              <w:t>Engineering Geology</w:t>
            </w:r>
          </w:p>
        </w:tc>
        <w:tc>
          <w:tcPr>
            <w:tcW w:type="dxa" w:w="1701"/>
            <w:shd w:val="clear" w:color="auto" w:fill="F3F5F7"/>
          </w:tcPr>
          <w:p>
            <w:r/>
            <w:r>
              <w:rPr>
                <w:sz w:val="19"/>
              </w:rPr>
              <w:t>8</w:t>
            </w:r>
          </w:p>
        </w:tc>
      </w:tr>
      <w:tr>
        <w:tc>
          <w:tcPr>
            <w:tcW w:type="dxa" w:w="6803"/>
          </w:tcPr>
          <w:p>
            <w:r/>
            <w:r>
              <w:rPr>
                <w:sz w:val="19"/>
              </w:rPr>
              <w:t>Rock Mechanics and Rock Engineering</w:t>
            </w:r>
          </w:p>
        </w:tc>
        <w:tc>
          <w:tcPr>
            <w:tcW w:type="dxa" w:w="1701"/>
          </w:tcPr>
          <w:p>
            <w:r/>
            <w:r>
              <w:rPr>
                <w:sz w:val="19"/>
              </w:rPr>
              <w:t>8</w:t>
            </w:r>
          </w:p>
        </w:tc>
      </w:tr>
      <w:tr>
        <w:tc>
          <w:tcPr>
            <w:tcW w:type="dxa" w:w="6803"/>
            <w:shd w:val="clear" w:color="auto" w:fill="F3F5F7"/>
          </w:tcPr>
          <w:p>
            <w:r/>
            <w:r>
              <w:rPr>
                <w:sz w:val="19"/>
              </w:rPr>
              <w:t>Journal of Geotechnical and Geoenvironmental Engineering</w:t>
            </w:r>
          </w:p>
        </w:tc>
        <w:tc>
          <w:tcPr>
            <w:tcW w:type="dxa" w:w="1701"/>
            <w:shd w:val="clear" w:color="auto" w:fill="F3F5F7"/>
          </w:tcPr>
          <w:p>
            <w:r/>
            <w:r>
              <w:rPr>
                <w:sz w:val="19"/>
              </w:rPr>
              <w:t>7</w:t>
            </w:r>
          </w:p>
        </w:tc>
      </w:tr>
      <w:tr>
        <w:tc>
          <w:tcPr>
            <w:tcW w:type="dxa" w:w="6803"/>
          </w:tcPr>
          <w:p>
            <w:r/>
            <w:r>
              <w:rPr>
                <w:sz w:val="19"/>
              </w:rPr>
              <w:t>Transportation Geotechnics</w:t>
            </w:r>
          </w:p>
        </w:tc>
        <w:tc>
          <w:tcPr>
            <w:tcW w:type="dxa" w:w="1701"/>
          </w:tcPr>
          <w:p>
            <w:r/>
            <w:r>
              <w:rPr>
                <w:sz w:val="19"/>
              </w:rPr>
              <w:t>7</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6</w:t>
            </w:r>
          </w:p>
        </w:tc>
      </w:tr>
      <w:tr>
        <w:tc>
          <w:tcPr>
            <w:tcW w:type="dxa" w:w="6803"/>
          </w:tcPr>
          <w:p>
            <w:r/>
            <w:r>
              <w:rPr>
                <w:sz w:val="19"/>
              </w:rPr>
              <w:t>Tunnelling and Underground Space Technology</w:t>
            </w:r>
          </w:p>
        </w:tc>
        <w:tc>
          <w:tcPr>
            <w:tcW w:type="dxa" w:w="1701"/>
          </w:tcPr>
          <w:p>
            <w:r/>
            <w:r>
              <w:rPr>
                <w:sz w:val="19"/>
              </w:rPr>
              <w:t>6</w:t>
            </w:r>
          </w:p>
        </w:tc>
      </w:tr>
      <w:tr>
        <w:tc>
          <w:tcPr>
            <w:tcW w:type="dxa" w:w="6803"/>
            <w:shd w:val="clear" w:color="auto" w:fill="F3F5F7"/>
          </w:tcPr>
          <w:p>
            <w:r/>
            <w:r>
              <w:rPr>
                <w:sz w:val="19"/>
              </w:rPr>
              <w:t>Computers and Geotechnics</w:t>
            </w:r>
          </w:p>
        </w:tc>
        <w:tc>
          <w:tcPr>
            <w:tcW w:type="dxa" w:w="1701"/>
            <w:shd w:val="clear" w:color="auto" w:fill="F3F5F7"/>
          </w:tcPr>
          <w:p>
            <w:r/>
            <w:r>
              <w:rPr>
                <w:sz w:val="19"/>
              </w:rPr>
              <w:t>5</w:t>
            </w:r>
          </w:p>
        </w:tc>
      </w:tr>
      <w:tr>
        <w:tc>
          <w:tcPr>
            <w:tcW w:type="dxa" w:w="6803"/>
          </w:tcPr>
          <w:p>
            <w:r/>
            <w:r>
              <w:rPr>
                <w:sz w:val="19"/>
              </w:rPr>
              <w:t>Acta Geotechnica</w:t>
            </w:r>
          </w:p>
        </w:tc>
        <w:tc>
          <w:tcPr>
            <w:tcW w:type="dxa" w:w="1701"/>
          </w:tcPr>
          <w:p>
            <w:r/>
            <w:r>
              <w:rPr>
                <w:sz w:val="19"/>
              </w:rPr>
              <w:t>4</w:t>
            </w:r>
          </w:p>
        </w:tc>
      </w:tr>
      <w:tr>
        <w:tc>
          <w:tcPr>
            <w:tcW w:type="dxa" w:w="6803"/>
            <w:shd w:val="clear" w:color="auto" w:fill="F3F5F7"/>
          </w:tcPr>
          <w:p>
            <w:r/>
            <w:r>
              <w:rPr>
                <w:sz w:val="19"/>
              </w:rPr>
              <w:t>Underground Space</w:t>
            </w:r>
          </w:p>
        </w:tc>
        <w:tc>
          <w:tcPr>
            <w:tcW w:type="dxa" w:w="1701"/>
            <w:shd w:val="clear" w:color="auto" w:fill="F3F5F7"/>
          </w:tcPr>
          <w:p>
            <w:r/>
            <w:r>
              <w:rPr>
                <w:sz w:val="19"/>
              </w:rPr>
              <w:t>3</w:t>
            </w:r>
          </w:p>
        </w:tc>
      </w:tr>
      <w:tr>
        <w:tc>
          <w:tcPr>
            <w:tcW w:type="dxa" w:w="6803"/>
          </w:tcPr>
          <w:p>
            <w:r/>
            <w:r>
              <w:rPr>
                <w:sz w:val="19"/>
              </w:rPr>
              <w:t>International Journal for Numerical and Analytical Methods in Geomechanics</w:t>
            </w:r>
          </w:p>
        </w:tc>
        <w:tc>
          <w:tcPr>
            <w:tcW w:type="dxa" w:w="1701"/>
          </w:tcPr>
          <w:p>
            <w:r/>
            <w:r>
              <w:rPr>
                <w:sz w:val="19"/>
              </w:rPr>
              <w:t>3</w:t>
            </w:r>
          </w:p>
        </w:tc>
      </w:tr>
      <w:tr>
        <w:tc>
          <w:tcPr>
            <w:tcW w:type="dxa" w:w="6803"/>
            <w:shd w:val="clear" w:color="auto" w:fill="F3F5F7"/>
          </w:tcPr>
          <w:p>
            <w:r/>
            <w:r>
              <w:rPr>
                <w:sz w:val="19"/>
              </w:rPr>
              <w:t>Landslides</w:t>
            </w:r>
          </w:p>
        </w:tc>
        <w:tc>
          <w:tcPr>
            <w:tcW w:type="dxa" w:w="1701"/>
            <w:shd w:val="clear" w:color="auto" w:fill="F3F5F7"/>
          </w:tcPr>
          <w:p>
            <w:r/>
            <w:r>
              <w:rPr>
                <w:sz w:val="19"/>
              </w:rPr>
              <w:t>3</w:t>
            </w:r>
          </w:p>
        </w:tc>
      </w:tr>
      <w:tr>
        <w:tc>
          <w:tcPr>
            <w:tcW w:type="dxa" w:w="6803"/>
          </w:tcPr>
          <w:p>
            <w:r/>
            <w:r>
              <w:rPr>
                <w:sz w:val="19"/>
              </w:rPr>
              <w:t>Soils and Foundations</w:t>
            </w:r>
          </w:p>
        </w:tc>
        <w:tc>
          <w:tcPr>
            <w:tcW w:type="dxa" w:w="1701"/>
          </w:tcPr>
          <w:p>
            <w:r/>
            <w:r>
              <w:rPr>
                <w:sz w:val="19"/>
              </w:rPr>
              <w:t>3</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2</w:t>
            </w:r>
          </w:p>
        </w:tc>
      </w:tr>
      <w:tr>
        <w:tc>
          <w:tcPr>
            <w:tcW w:type="dxa" w:w="6803"/>
          </w:tcPr>
          <w:p>
            <w:r/>
            <w:r>
              <w:rPr>
                <w:sz w:val="19"/>
              </w:rPr>
              <w:t>Journal of Rock Mechanics and Geotechnical Engineering</w:t>
            </w:r>
          </w:p>
        </w:tc>
        <w:tc>
          <w:tcPr>
            <w:tcW w:type="dxa" w:w="1701"/>
          </w:tcPr>
          <w:p>
            <w:r/>
            <w:r>
              <w:rPr>
                <w:sz w:val="19"/>
              </w:rPr>
              <w:t>1</w:t>
            </w:r>
          </w:p>
        </w:tc>
      </w:tr>
      <w:tr>
        <w:tc>
          <w:tcPr>
            <w:tcW w:type="dxa" w:w="6803"/>
            <w:shd w:val="clear" w:color="auto" w:fill="F3F5F7"/>
          </w:tcPr>
          <w:p>
            <w:r/>
            <w:r>
              <w:rPr>
                <w:sz w:val="19"/>
              </w:rPr>
              <w:t>International Journal of Geomechanics</w:t>
            </w:r>
          </w:p>
        </w:tc>
        <w:tc>
          <w:tcPr>
            <w:tcW w:type="dxa" w:w="1701"/>
            <w:shd w:val="clear" w:color="auto" w:fill="F3F5F7"/>
          </w:tcPr>
          <w:p>
            <w:r/>
            <w:r>
              <w:rPr>
                <w:sz w:val="19"/>
              </w:rPr>
              <w:t>1</w:t>
            </w:r>
          </w:p>
        </w:tc>
      </w:tr>
      <w:tr>
        <w:tc>
          <w:tcPr>
            <w:tcW w:type="dxa" w:w="6803"/>
          </w:tcPr>
          <w:p>
            <w:r/>
            <w:r>
              <w:rPr>
                <w:sz w:val="19"/>
              </w:rPr>
              <w:t>Geosynthetics International</w:t>
            </w:r>
          </w:p>
        </w:tc>
        <w:tc>
          <w:tcPr>
            <w:tcW w:type="dxa" w:w="1701"/>
          </w:tcPr>
          <w:p>
            <w:r/>
            <w:r>
              <w:rPr>
                <w:sz w:val="19"/>
              </w:rPr>
              <w:t>1</w:t>
            </w:r>
          </w:p>
        </w:tc>
      </w:tr>
      <w:tr>
        <w:tc>
          <w:tcPr>
            <w:tcW w:type="dxa" w:w="6803"/>
            <w:shd w:val="clear" w:color="auto" w:fill="F3F5F7"/>
          </w:tcPr>
          <w:p>
            <w:r/>
            <w:r>
              <w:rPr>
                <w:sz w:val="19"/>
              </w:rPr>
              <w:t>Geomechanics for Energy and the Environment</w:t>
            </w:r>
          </w:p>
        </w:tc>
        <w:tc>
          <w:tcPr>
            <w:tcW w:type="dxa" w:w="1701"/>
            <w:shd w:val="clear" w:color="auto" w:fill="F3F5F7"/>
          </w:tcPr>
          <w:p>
            <w:r/>
            <w:r>
              <w:rPr>
                <w:sz w:val="19"/>
              </w:rPr>
              <w:t>1</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bl>
    <w:p/>
    <w:p>
      <w:pPr>
        <w:pStyle w:val="ListBullet"/>
      </w:pPr>
      <w:hyperlink r:id="rId10">
        <w:r>
          <w:rPr>
            <w:b/>
            <w:color w:val="1D5A8A"/>
            <w:u w:val="single"/>
          </w:rPr>
          <w:t>Experimental Investigation of the Static-to-Kinetic Friction Transition of Piles in Sand Subjected to Various Loading Rates</w:t>
        </w:r>
      </w:hyperlink>
      <w:r>
        <w:t xml:space="preserve"> — Journal of Geotechnical and Geoenvironmental Engineering, 2026-10-29. Shows that pile capacity in sand drops noticeably with faster loading, so design and load-test interpretation should account for the rate at which loads are applied.</w:t>
      </w:r>
    </w:p>
    <w:p>
      <w:pPr>
        <w:pStyle w:val="ListBullet"/>
      </w:pPr>
      <w:hyperlink r:id="rId11">
        <w:r>
          <w:rPr>
            <w:b/>
            <w:color w:val="1D5A8A"/>
            <w:u w:val="single"/>
          </w:rPr>
          <w:t>Surrogate-assisted joint backcalculation of bimodular pavement layer moduli from FWD and staged plate-load tests on excavated formations</w:t>
        </w:r>
      </w:hyperlink>
      <w:r>
        <w:t xml:space="preserve"> — Transportation Geotechnics, 2026-10-28. Combines falling weight deflectometer and plate-load data to backcalculate layer moduli, giving pavement engineers a more reliable way to characterise subgrades.</w:t>
      </w:r>
    </w:p>
    <w:p>
      <w:pPr>
        <w:pStyle w:val="ListBullet"/>
      </w:pPr>
      <w:hyperlink r:id="rId12">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3">
        <w:r>
          <w:rPr>
            <w:b/>
            <w:color w:val="1D5A8A"/>
            <w:u w:val="single"/>
          </w:rPr>
          <w:t>Efficiency of C-band persistent scatterer interferometry for regional landslide monitoring: insights from the Southern Swiss Alps</w:t>
        </w:r>
      </w:hyperlink>
      <w:r>
        <w:t xml:space="preserve"> — Engineering Geology, 2026-10-28. Assesses how well satellite radar monitoring detects slope movement in alpine terrain, helping engineers decide where it can replace or supplement ground instruments.</w:t>
      </w:r>
    </w:p>
    <w:p>
      <w:pPr>
        <w:pStyle w:val="ListBullet"/>
      </w:pPr>
      <w:hyperlink r:id="rId14">
        <w:r>
          <w:rPr>
            <w:b/>
            <w:color w:val="1D5A8A"/>
            <w:u w:val="single"/>
          </w:rPr>
          <w:t>CO2 leakage mitigation in defective wellbores: From permeability–Pressure diagnosis to MICP grouting</w:t>
        </w:r>
      </w:hyperlink>
      <w:r>
        <w:t xml:space="preserve"> — Engineering Geology, 2026-10-28. Links wellbore permeability diagnostics to microbially induced grouting, giving practitioners a route to sealing leaky wells for carbon storage.</w:t>
      </w:r>
    </w:p>
    <w:p>
      <w:pPr>
        <w:pStyle w:val="ListBullet"/>
      </w:pPr>
      <w:hyperlink r:id="rId15">
        <w:r>
          <w:rPr>
            <w:b/>
            <w:color w:val="1D5A8A"/>
            <w:u w:val="single"/>
          </w:rPr>
          <w:t>Model test on thermal insulation mechanism of sandwich lining structures for tunnel and corresponding simulation</w:t>
        </w:r>
      </w:hyperlink>
      <w:r>
        <w:t xml:space="preserve"> — Underground Space, 2026-10-29. Provides model test evidence on insulating sandwich tunnel linings, useful for designers managing heat loss and thermal performance in tunnels.</w:t>
      </w:r>
    </w:p>
    <w:p>
      <w:pPr>
        <w:pStyle w:val="ListBullet"/>
      </w:pPr>
      <w:hyperlink r:id="rId16">
        <w:r>
          <w:rPr>
            <w:b/>
            <w:color w:val="1D5A8A"/>
            <w:u w:val="single"/>
          </w:rPr>
          <w:t>From resilient stiffness to cyclic failure: Multi-regime cyclic behavior of silty clay stabilized with MICP, Lignin Fiber, and Sodium Alginate</w:t>
        </w:r>
      </w:hyperlink>
      <w:r>
        <w:t xml:space="preserve"> — Transportation Geotechnics, 2026-10-28. Compares MICP, lignin fibre and alginate stabilisation of silty clay under cyclic loading, offering guidance on choosing treatments for pavement subgrades.</w:t>
      </w:r>
    </w:p>
    <w:p>
      <w:pPr>
        <w:pStyle w:val="ListBullet"/>
      </w:pPr>
      <w:hyperlink r:id="rId17">
        <w:r>
          <w:rPr>
            <w:b/>
            <w:color w:val="1D5A8A"/>
            <w:u w:val="single"/>
          </w:rPr>
          <w:t>Inferring Inter‐Well Fracture Interactions in Unconventional Reservoirs Using Fiber‐Optic Sensing and Coupled Multiphysics Modelling</w:t>
        </w:r>
      </w:hyperlink>
      <w:r>
        <w:t xml:space="preserve"> — International Journal for Numerical and Analytical Methods in Geomechanics, 2026-10-28. Shows how fibre-optic DTS and DAS data can be matched with coupled simulations to diagnose inter-well fracture interference in reservoirs, aiding field monitoring interpretation.</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43</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2026-10-29 · A shorter top bar, an Ask AI button and a map of the events</w:t>
      </w:r>
    </w:p>
    <w:p>
      <w:pPr>
        <w:pStyle w:val="ListBullet"/>
      </w:pPr>
      <w:r>
        <w:t>Top bar - it now has three items, to leave room for new pages later. Latest opens a short menu with Latest (today's digest), Trends, Developing stories and Archive; World map opens a menu with World map and Events; Search is a plain tab as before. Tap or click a menu to open it; tap it again, choose a page or tap anywhere else to close it. With a keyboard: Tab to the menu, Enter or Space opens it, the arrow keys move through it and Escape closes it. The menu holding the page you are on is highlighted, and inside it that page is marked. The menus work the same on an iPad, a phone and a computer, and also when the browser runs no scripts. Every button in the top bar is now at least the size of a fingertip, so it is easy to tap on the iPad.</w:t>
      </w:r>
    </w:p>
    <w:p>
      <w:pPr>
        <w:pStyle w:val="ListBullet"/>
      </w:pPr>
      <w:r>
        <w:t>Method &amp; sources is now a button at the top right, beside Scan now, in the same rounded style but lighter (outlined). On a narrow screen it reads Method; on a phone it shows only its book icon.</w:t>
      </w:r>
    </w:p>
    <w:p>
      <w:pPr>
        <w:pStyle w:val="ListBullet"/>
      </w:pPr>
      <w:r>
        <w:t>Ask AI - a round button at the bottom right of every page opens the AI assistant. It is not shown on the assistant's own page or on printouts. Every page now ends with a little extra space so the button never hides its last lines, the button keeps clear of the iPad's home bar, and notices such as the Scan now progress open just above it. With a keyboard, it comes straight after Scan now.</w:t>
      </w:r>
    </w:p>
    <w:p>
      <w:pPr>
        <w:pStyle w:val="ListBullet"/>
      </w:pPr>
      <w:r>
        <w:t>Events map - the Events page now shows, above the list of upcoming events (which is unchanged), a world map of where they take place. Each circle is a city: gold where at least one ISSMGE event is, blue for other events only, with the number of events in it; nearby cities share a circle until you zoom in on a region. Tap a circle, or a country beside the map, to list its events; each one links to its card in the list, which opens just below the filters. On a touch screen, circles too close to tap apart share one circle until you zoom in. The filters above the map (text, kind, region, ISSMGE only) apply to the map too. Events held only online and those the calendar gives no place for yet are counted beside the map, not drawn on it. The Table button lists every country with its events, also for screen readers. A city the map does not know yet is shown in the middle of its country; the list of cities is in events.py (CITY_POINTS).</w:t>
      </w:r>
    </w:p>
    <w:p>
      <w:pPr>
        <w:pStyle w:val="ListBullet"/>
      </w:pPr>
      <w:r>
        <w:t>Site title - the line under Geotechnical News Desk now reads ISSMGE – Magazine Presidential Committee (MPC); on a narrow screen, ISSMGE – MPC. The MPC logo (an open magazine on layers of ground) now stands beside the name, in place of the old magnifier icon; the browser tab keeps its icon.</w:t>
      </w:r>
    </w:p>
    <w:p>
      <w:pPr>
        <w:pStyle w:val="ListBullet"/>
      </w:pPr>
      <w:r>
        <w:t>Phones - ISSMGE – MPC also shows on the narrowest Android phones (Galaxy S8, Moto G4); with a larger font size or zoom set on the phone, the top bar, its menus and the buttons still fit the screen (shorter labels, the name on two lines); and on an iPhone held sideways the top bar keeps clear of the notch.</w:t>
      </w:r>
    </w:p>
    <w:p>
      <w:pPr>
        <w:pStyle w:val="ListBullet"/>
      </w:pPr>
      <w:r>
        <w:t>Also fixed: on a phone, a long error message in the list of failed sources made the Method &amp; sources page slightly wider than the screen.</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4539" TargetMode="External"/><Relationship Id="rId11" Type="http://schemas.openxmlformats.org/officeDocument/2006/relationships/hyperlink" Target="https://doi.org/10.1016/j.trgeo.2026.102492" TargetMode="External"/><Relationship Id="rId12" Type="http://schemas.openxmlformats.org/officeDocument/2006/relationships/hyperlink" Target="https://doi.org/10.1016/j.sandf.2026.101888" TargetMode="External"/><Relationship Id="rId13" Type="http://schemas.openxmlformats.org/officeDocument/2006/relationships/hyperlink" Target="https://doi.org/10.1016/j.enggeo.2026.109182" TargetMode="External"/><Relationship Id="rId14" Type="http://schemas.openxmlformats.org/officeDocument/2006/relationships/hyperlink" Target="https://doi.org/10.1016/j.enggeo.2026.109177" TargetMode="External"/><Relationship Id="rId15" Type="http://schemas.openxmlformats.org/officeDocument/2006/relationships/hyperlink" Target="https://doi.org/10.1016/j.undsp.2026.10.002" TargetMode="External"/><Relationship Id="rId16" Type="http://schemas.openxmlformats.org/officeDocument/2006/relationships/hyperlink" Target="https://doi.org/10.1016/j.trgeo.2026.102506" TargetMode="External"/><Relationship Id="rId17" Type="http://schemas.openxmlformats.org/officeDocument/2006/relationships/hyperlink" Target="https://doi.org/10.1002/nag.704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