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24 October 2026, 13:48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2026-10-24 (13:41 UTC)</w:t>
            </w:r>
          </w:p>
        </w:tc>
      </w:tr>
      <w:tr>
        <w:tc>
          <w:tcPr>
            <w:tcW w:type="dxa" w:w="4535"/>
            <w:shd w:val="clear" w:color="auto" w:fill="F3F5F7"/>
          </w:tcPr>
          <w:p>
            <w:r/>
            <w:r>
              <w:rPr>
                <w:sz w:val="19"/>
              </w:rPr>
              <w:t>Stories in latest digest</w:t>
            </w:r>
          </w:p>
        </w:tc>
        <w:tc>
          <w:tcPr>
            <w:tcW w:type="dxa" w:w="5102"/>
            <w:shd w:val="clear" w:color="auto" w:fill="F3F5F7"/>
          </w:tcPr>
          <w:p>
            <w:r/>
            <w:r>
              <w:rPr>
                <w:sz w:val="19"/>
              </w:rPr>
              <w:t>30</w:t>
            </w:r>
          </w:p>
        </w:tc>
      </w:tr>
      <w:tr>
        <w:tc>
          <w:tcPr>
            <w:tcW w:type="dxa" w:w="4535"/>
          </w:tcPr>
          <w:p>
            <w:r/>
            <w:r>
              <w:rPr>
                <w:sz w:val="19"/>
              </w:rPr>
              <w:t>New items scanned</w:t>
            </w:r>
          </w:p>
        </w:tc>
        <w:tc>
          <w:tcPr>
            <w:tcW w:type="dxa" w:w="5102"/>
          </w:tcPr>
          <w:p>
            <w:r/>
            <w:r>
              <w:rPr>
                <w:sz w:val="19"/>
              </w:rPr>
              <w:t>789</w:t>
            </w:r>
          </w:p>
        </w:tc>
      </w:tr>
      <w:tr>
        <w:tc>
          <w:tcPr>
            <w:tcW w:type="dxa" w:w="4535"/>
            <w:shd w:val="clear" w:color="auto" w:fill="F3F5F7"/>
          </w:tcPr>
          <w:p>
            <w:r/>
            <w:r>
              <w:rPr>
                <w:sz w:val="19"/>
              </w:rPr>
              <w:t>Triage method</w:t>
            </w:r>
          </w:p>
        </w:tc>
        <w:tc>
          <w:tcPr>
            <w:tcW w:type="dxa" w:w="5102"/>
            <w:shd w:val="clear" w:color="auto" w:fill="F3F5F7"/>
          </w:tcPr>
          <w:p>
            <w:r/>
            <w:r>
              <w:rPr>
                <w:sz w:val="19"/>
              </w:rPr>
              <w:t>Claude AI</w:t>
            </w:r>
          </w:p>
        </w:tc>
      </w:tr>
      <w:tr>
        <w:tc>
          <w:tcPr>
            <w:tcW w:type="dxa" w:w="4535"/>
          </w:tcPr>
          <w:p>
            <w:r/>
            <w:r>
              <w:rPr>
                <w:sz w:val="19"/>
              </w:rPr>
              <w:t>Stories archived</w:t>
            </w:r>
          </w:p>
        </w:tc>
        <w:tc>
          <w:tcPr>
            <w:tcW w:type="dxa" w:w="5102"/>
          </w:tcPr>
          <w:p>
            <w:r/>
            <w:r>
              <w:rPr>
                <w:sz w:val="19"/>
              </w:rPr>
              <w:t>30</w:t>
            </w:r>
          </w:p>
        </w:tc>
      </w:tr>
      <w:tr>
        <w:tc>
          <w:tcPr>
            <w:tcW w:type="dxa" w:w="4535"/>
            <w:shd w:val="clear" w:color="auto" w:fill="F3F5F7"/>
          </w:tcPr>
          <w:p>
            <w:r/>
            <w:r>
              <w:rPr>
                <w:sz w:val="19"/>
              </w:rPr>
              <w:t>Daily digests archived</w:t>
            </w:r>
          </w:p>
        </w:tc>
        <w:tc>
          <w:tcPr>
            <w:tcW w:type="dxa" w:w="5102"/>
            <w:shd w:val="clear" w:color="auto" w:fill="F3F5F7"/>
          </w:tcPr>
          <w:p>
            <w:r/>
            <w:r>
              <w:rPr>
                <w:sz w:val="19"/>
              </w:rPr>
              <w:t>1</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Websites failing on latest scan</w:t>
            </w:r>
          </w:p>
        </w:tc>
        <w:tc>
          <w:tcPr>
            <w:tcW w:type="dxa" w:w="5102"/>
            <w:shd w:val="clear" w:color="auto" w:fill="F3F5F7"/>
          </w:tcPr>
          <w:p>
            <w:r/>
            <w:r>
              <w:rPr>
                <w:sz w:val="19"/>
              </w:rPr>
              <w:t>18 of 26</w:t>
            </w:r>
          </w:p>
        </w:tc>
      </w:tr>
    </w:tbl>
    <w:p/>
    <w:p>
      <w:pPr>
        <w:pStyle w:val="Heading1"/>
      </w:pPr>
      <w:r>
        <w:rPr>
          <w:color w:val="16324F"/>
        </w:rPr>
        <w:t>What the website does</w:t>
      </w:r>
    </w:p>
    <w:p>
      <w:pPr>
        <w:pStyle w:val="ListBullet"/>
      </w:pPr>
      <w:r>
        <w:rPr>
          <w:b/>
        </w:rPr>
        <w:t xml:space="preserve">Daily scan: </w:t>
      </w:r>
      <w:r>
        <w:t>every day at 05:00 Cairo time, and on demand with Scan now, the scanner reads specialist, society and trade-press websites, worldwide Google News searches in English and 16 other languages, and new papers from geotechnical journals.</w:t>
      </w:r>
    </w:p>
    <w:p>
      <w:pPr>
        <w:pStyle w:val="ListBullet"/>
      </w:pPr>
      <w:r>
        <w:rPr>
          <w:b/>
        </w:rPr>
        <w:t xml:space="preserve">Categorisation: </w:t>
      </w:r>
      <w:r>
        <w:t>every headline, in any covered language, is scored against weighted geotechnical keywords and filed under one of the magazine's eight themes; Claude then rates its geotechnical substance (1-5), confirms the theme, suggests an editorial use, writes a magazine angle and translates foreign headlines.</w:t>
      </w:r>
    </w:p>
    <w:p>
      <w:pPr>
        <w:pStyle w:val="ListBullet"/>
      </w:pPr>
      <w:r>
        <w:rPr>
          <w:b/>
        </w:rPr>
        <w:t xml:space="preserve">Balanced digests: </w:t>
      </w:r>
      <w:r>
        <w:t>no theme may take more than 30 % of a digest, and several outlets reporting the same event are merged into one story.</w:t>
      </w:r>
    </w:p>
    <w:p>
      <w:pPr>
        <w:pStyle w:val="ListBullet"/>
      </w:pPr>
      <w:r>
        <w:rPr>
          <w:b/>
        </w:rPr>
        <w:t xml:space="preserve">Archive: </w:t>
      </w:r>
      <w:r>
        <w:t>every digest is kept permanently and grouped into three-month issue windows that follow the magazine's cycle, each with an issue page.</w:t>
      </w:r>
    </w:p>
    <w:p>
      <w:pPr>
        <w:pStyle w:val="ListBullet"/>
      </w:pPr>
      <w:r>
        <w:rPr>
          <w:b/>
        </w:rPr>
        <w:t xml:space="preserve">Issue brief: </w:t>
      </w:r>
      <w:r>
        <w:t>for each issue window Claude drafts a Word brief for the editorial meeting - a proposed line-up per theme, feature leads, Academia-to-Industry topics, a regional-balance check and gaps worth covering. Drafts appear in the last weeks of each quarter, a final brief after it closes, and on demand from the issue page.</w:t>
      </w:r>
    </w:p>
    <w:p>
      <w:pPr>
        <w:pStyle w:val="ListBullet"/>
      </w:pPr>
      <w:r>
        <w:rPr>
          <w:b/>
        </w:rPr>
        <w:t xml:space="preserve">Research papers: </w:t>
      </w:r>
      <w:r>
        <w:t>new papers from journals such as Géotechnique, Canadian Geotechnical Journal, ASCE JGGE, Soils and Foundations and Acta Geotechnica arrive through Crossref, with a one-line note on why each matters for practice.</w:t>
      </w:r>
    </w:p>
    <w:p>
      <w:pPr>
        <w:pStyle w:val="ListBullet"/>
      </w:pPr>
      <w:r>
        <w:rPr>
          <w:b/>
        </w:rPr>
        <w:t xml:space="preserve">Trends: </w:t>
      </w:r>
      <w:r>
        <w:t>a page charting stories per month and per quarter by theme, theme shares over time, rising keywords, regions, editorial uses and sources.</w:t>
      </w:r>
    </w:p>
    <w:p>
      <w:pPr>
        <w:pStyle w:val="ListBullet"/>
      </w:pPr>
      <w:r>
        <w:rPr>
          <w:b/>
        </w:rPr>
        <w:t xml:space="preserve">Search and AI assistant: </w:t>
      </w:r>
      <w:r>
        <w:t>search every archived story with filters, or ask the AI assistant, which can also read attached PDF and Word documents.</w:t>
      </w:r>
    </w:p>
    <w:p>
      <w:pPr>
        <w:pStyle w:val="ListBullet"/>
      </w:pPr>
      <w:r>
        <w:rPr>
          <w:b/>
        </w:rPr>
        <w:t xml:space="preserve">Excel workbooks: </w:t>
      </w:r>
      <w:r>
        <w:t>one per issue window and one for the whole archive, with an interactive dashboard, planning columns and a reading view by theme.</w:t>
      </w:r>
    </w:p>
    <w:p>
      <w:pPr>
        <w:pStyle w:val="ListBullet"/>
      </w:pPr>
      <w:r>
        <w:rPr>
          <w:b/>
        </w:rPr>
        <w:t xml:space="preserve">Website report: </w:t>
      </w:r>
      <w:r>
        <w:t>this document, rebuilt after every scan.</w:t>
      </w:r>
    </w:p>
    <w:p>
      <w:pPr>
        <w:pStyle w:val="Heading1"/>
      </w:pPr>
      <w:r>
        <w:rPr>
          <w:color w:val="16324F"/>
        </w:rPr>
        <w:t>2. Review of the latest scan</w:t>
      </w:r>
    </w:p>
    <w:p>
      <w:pPr>
        <w:spacing w:after="60"/>
      </w:pPr>
      <w:r>
        <w:rPr>
          <w:b/>
          <w:color w:val="1E7B4F"/>
        </w:rPr>
        <w:t xml:space="preserve">✔ </w:t>
      </w:r>
      <w:r>
        <w:t>Claude triage ran: stories are rated, themed, given an angle and translated.</w:t>
      </w:r>
    </w:p>
    <w:p>
      <w:pPr>
        <w:spacing w:after="60"/>
      </w:pPr>
      <w:r>
        <w:rPr>
          <w:b/>
          <w:color w:val="B5560E"/>
        </w:rPr>
        <w:t xml:space="preserve">⚠ </w:t>
      </w:r>
      <w:r>
        <w:t>8 of 26 websites were read successfully; 18 failed (see Source health).</w:t>
      </w:r>
    </w:p>
    <w:p>
      <w:pPr>
        <w:spacing w:after="60"/>
      </w:pPr>
      <w:r>
        <w:rPr>
          <w:b/>
          <w:color w:val="1E7B4F"/>
        </w:rPr>
        <w:t xml:space="preserve">✔ </w:t>
      </w:r>
      <w:r>
        <w:t>Theme balance: 5 themes covered; the largest is Hazards &amp; Resilience with 18 of 30 stories (60%).</w:t>
      </w:r>
    </w:p>
    <w:p>
      <w:pPr>
        <w:spacing w:after="60"/>
      </w:pPr>
      <w:r>
        <w:rPr>
          <w:b/>
          <w:color w:val="5B6573"/>
        </w:rPr>
        <w:t xml:space="preserve">• </w:t>
      </w:r>
      <w:r>
        <w:t>23 different outlets contributed; the most frequent was Vietnam.vn (7 stories).</w:t>
      </w:r>
    </w:p>
    <w:p>
      <w:pPr>
        <w:spacing w:after="60"/>
      </w:pPr>
      <w:r>
        <w:rPr>
          <w:b/>
          <w:color w:val="5B6573"/>
        </w:rPr>
        <w:t xml:space="preserve">• </w:t>
      </w:r>
      <w:r>
        <w:t>21 stories came from non-English Google News editions.</w:t>
      </w:r>
    </w:p>
    <w:p>
      <w:pPr>
        <w:spacing w:after="60"/>
      </w:pPr>
      <w:r>
        <w:rPr>
          <w:b/>
          <w:color w:val="5B6573"/>
        </w:rPr>
        <w:t xml:space="preserve">• </w:t>
      </w:r>
      <w:r>
        <w:t>22 stories were rated 4 or 5 out of 5.</w:t>
      </w:r>
    </w:p>
    <w:p>
      <w:pPr>
        <w:pStyle w:val="Heading1"/>
      </w:pPr>
      <w:r>
        <w:rPr>
          <w:color w:val="16324F"/>
        </w:rPr>
        <w:t>3. Source health</w:t>
      </w:r>
    </w:p>
    <w:p>
      <w:r>
        <w:t>These websites could not be read on the latest scan. Their stories may still arrive through the Google News searches.</w:t>
      </w:r>
    </w:p>
    <w:tbl>
      <w:tblPr>
        <w:tblStyle w:val="TableGrid"/>
        <w:tblW w:type="auto" w:w="0"/>
        <w:jc w:val="center"/>
        <w:tblLayout w:type="fixed"/>
        <w:tblLook w:firstColumn="1" w:firstRow="1" w:lastColumn="0" w:lastRow="0" w:noHBand="0" w:noVBand="1" w:val="04A0"/>
      </w:tblPr>
      <w:tblGrid>
        <w:gridCol w:w="2268"/>
        <w:gridCol w:w="3118"/>
        <w:gridCol w:w="4252"/>
      </w:tblGrid>
      <w:tr>
        <w:tc>
          <w:tcPr>
            <w:tcW w:type="dxa" w:w="2268"/>
            <w:shd w:val="clear" w:color="auto" w:fill="16324F"/>
          </w:tcPr>
          <w:p>
            <w:r/>
            <w:r>
              <w:rPr>
                <w:b/>
                <w:color w:val="FFFFFF"/>
                <w:sz w:val="19"/>
              </w:rPr>
              <w:t>Source</w:t>
            </w:r>
          </w:p>
        </w:tc>
        <w:tc>
          <w:tcPr>
            <w:tcW w:type="dxa" w:w="3118"/>
            <w:shd w:val="clear" w:color="auto" w:fill="16324F"/>
          </w:tcPr>
          <w:p>
            <w:r/>
            <w:r>
              <w:rPr>
                <w:b/>
                <w:color w:val="FFFFFF"/>
                <w:sz w:val="19"/>
              </w:rPr>
              <w:t>Problem</w:t>
            </w:r>
          </w:p>
        </w:tc>
        <w:tc>
          <w:tcPr>
            <w:tcW w:type="dxa" w:w="4252"/>
            <w:shd w:val="clear" w:color="auto" w:fill="16324F"/>
          </w:tcPr>
          <w:p>
            <w:r/>
            <w:r>
              <w:rPr>
                <w:b/>
                <w:color w:val="FFFFFF"/>
                <w:sz w:val="19"/>
              </w:rPr>
              <w:t>Suggested action</w:t>
            </w:r>
          </w:p>
        </w:tc>
      </w:tr>
      <w:tr>
        <w:tc>
          <w:tcPr>
            <w:tcW w:type="dxa" w:w="2268"/>
          </w:tcPr>
          <w:p>
            <w:r/>
            <w:r>
              <w:rPr>
                <w:sz w:val="19"/>
              </w:rPr>
              <w:t>GeoEngineer</w:t>
            </w:r>
          </w:p>
        </w:tc>
        <w:tc>
          <w:tcPr>
            <w:tcW w:type="dxa" w:w="3118"/>
          </w:tcPr>
          <w:p>
            <w:r/>
            <w:r>
              <w:rPr>
                <w:sz w:val="19"/>
              </w:rPr>
              <w:t>403 Client Error: Forbidden for url: https://www.geoengineer.org/</w:t>
            </w:r>
          </w:p>
        </w:tc>
        <w:tc>
          <w:tcPr>
            <w:tcW w:type="dxa" w:w="4252"/>
          </w:tcPr>
          <w:p>
            <w:r/>
            <w:r>
              <w:rPr>
                <w:sz w:val="19"/>
              </w:rPr>
              <w:t>The site blocks automated readers. Look for its RSS feed address, or rely on the Google News searches.</w:t>
            </w:r>
          </w:p>
        </w:tc>
      </w:tr>
      <w:tr>
        <w:tc>
          <w:tcPr>
            <w:tcW w:type="dxa" w:w="2268"/>
            <w:shd w:val="clear" w:color="auto" w:fill="F3F5F7"/>
          </w:tcPr>
          <w:p>
            <w:r/>
            <w:r>
              <w:rPr>
                <w:sz w:val="19"/>
              </w:rPr>
              <w:t>Geosynthetica</w:t>
            </w:r>
          </w:p>
        </w:tc>
        <w:tc>
          <w:tcPr>
            <w:tcW w:type="dxa" w:w="3118"/>
            <w:shd w:val="clear" w:color="auto" w:fill="F3F5F7"/>
          </w:tcPr>
          <w:p>
            <w:r/>
            <w:r>
              <w:rPr>
                <w:sz w:val="19"/>
              </w:rPr>
              <w:t>HTTPSConnectionPool(host='www.geosynthetica.com', port=443): Max retries exceeded with url</w:t>
            </w:r>
          </w:p>
        </w:tc>
        <w:tc>
          <w:tcPr>
            <w:tcW w:type="dxa" w:w="4252"/>
            <w:shd w:val="clear" w:color="auto" w:fill="F3F5F7"/>
          </w:tcPr>
          <w:p>
            <w:r/>
            <w:r>
              <w:rPr>
                <w:sz w:val="19"/>
              </w:rPr>
              <w:t>The site did not answer. If it fails again on the next scans, replace or remove it.</w:t>
            </w:r>
          </w:p>
        </w:tc>
      </w:tr>
      <w:tr>
        <w:tc>
          <w:tcPr>
            <w:tcW w:type="dxa" w:w="2268"/>
          </w:tcPr>
          <w:p>
            <w:r/>
            <w:r>
              <w:rPr>
                <w:sz w:val="19"/>
              </w:rPr>
              <w:t>ISSMGE</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ASCE Geo-Institute</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ICE (Institution of Civil Engineers)</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FHWA Infrastructure R&amp;D</w:t>
            </w:r>
          </w:p>
        </w:tc>
        <w:tc>
          <w:tcPr>
            <w:tcW w:type="dxa" w:w="3118"/>
            <w:shd w:val="clear" w:color="auto" w:fill="F3F5F7"/>
          </w:tcPr>
          <w:p>
            <w:r/>
            <w:r>
              <w:rPr>
                <w:sz w:val="19"/>
              </w:rPr>
              <w:t>403 Client Error: Forbidden for url: https://highways.dot.gov/newsroom</w:t>
            </w:r>
          </w:p>
        </w:tc>
        <w:tc>
          <w:tcPr>
            <w:tcW w:type="dxa" w:w="4252"/>
            <w:shd w:val="clear" w:color="auto" w:fill="F3F5F7"/>
          </w:tcPr>
          <w:p>
            <w:r/>
            <w:r>
              <w:rPr>
                <w:sz w:val="19"/>
              </w:rPr>
              <w:t>The site blocks automated readers. Look for its RSS feed address, or rely on the Google News searches.</w:t>
            </w:r>
          </w:p>
        </w:tc>
      </w:tr>
      <w:tr>
        <w:tc>
          <w:tcPr>
            <w:tcW w:type="dxa" w:w="2268"/>
          </w:tcPr>
          <w:p>
            <w:r/>
            <w:r>
              <w:rPr>
                <w:sz w:val="19"/>
              </w:rPr>
              <w:t>GEER Association</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USGS Landslide Hazards</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USGS Natural Hazards news</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ReliefWeb disasters</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Tunnels &amp; Tunnelling</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TunnelTalk</w:t>
            </w:r>
          </w:p>
        </w:tc>
        <w:tc>
          <w:tcPr>
            <w:tcW w:type="dxa" w:w="3118"/>
            <w:shd w:val="clear" w:color="auto" w:fill="F3F5F7"/>
          </w:tcPr>
          <w:p>
            <w:r/>
            <w:r>
              <w:rPr>
                <w:sz w:val="19"/>
              </w:rPr>
              <w:t>HTTPSConnectionPool(host='www.tunneltalk.com', port=443): Max retries exceeded with url: /</w:t>
            </w:r>
          </w:p>
        </w:tc>
        <w:tc>
          <w:tcPr>
            <w:tcW w:type="dxa" w:w="4252"/>
            <w:shd w:val="clear" w:color="auto" w:fill="F3F5F7"/>
          </w:tcPr>
          <w:p>
            <w:r/>
            <w:r>
              <w:rPr>
                <w:sz w:val="19"/>
              </w:rPr>
              <w:t>The site did not answer. If it fails again on the next scans, replace or remove it.</w:t>
            </w:r>
          </w:p>
        </w:tc>
      </w:tr>
      <w:tr>
        <w:tc>
          <w:tcPr>
            <w:tcW w:type="dxa" w:w="2268"/>
          </w:tcPr>
          <w:p>
            <w:r/>
            <w:r>
              <w:rPr>
                <w:sz w:val="19"/>
              </w:rPr>
              <w:t>Rail Business UK</w:t>
            </w:r>
          </w:p>
        </w:tc>
        <w:tc>
          <w:tcPr>
            <w:tcW w:type="dxa" w:w="3118"/>
          </w:tcPr>
          <w:p>
            <w:r/>
            <w:r>
              <w:rPr>
                <w:sz w:val="19"/>
              </w:rPr>
              <w:t>403 Client Error: Forbidden for url: https://www.railbusinessuk.com/feed/</w:t>
            </w:r>
          </w:p>
        </w:tc>
        <w:tc>
          <w:tcPr>
            <w:tcW w:type="dxa" w:w="4252"/>
          </w:tcPr>
          <w:p>
            <w:r/>
            <w:r>
              <w:rPr>
                <w:sz w:val="19"/>
              </w:rPr>
              <w:t>The site blocks automated readers. Look for its RSS feed address, or rely on the Google News searches.</w:t>
            </w:r>
          </w:p>
        </w:tc>
      </w:tr>
      <w:tr>
        <w:tc>
          <w:tcPr>
            <w:tcW w:type="dxa" w:w="2268"/>
            <w:shd w:val="clear" w:color="auto" w:fill="F3F5F7"/>
          </w:tcPr>
          <w:p>
            <w:r/>
            <w:r>
              <w:rPr>
                <w:sz w:val="19"/>
              </w:rPr>
              <w:t>Railway Gazette</w:t>
            </w:r>
          </w:p>
        </w:tc>
        <w:tc>
          <w:tcPr>
            <w:tcW w:type="dxa" w:w="3118"/>
            <w:shd w:val="clear" w:color="auto" w:fill="F3F5F7"/>
          </w:tcPr>
          <w:p>
            <w:r/>
            <w:r>
              <w:rPr>
                <w:sz w:val="19"/>
              </w:rPr>
              <w:t>403 Client Error: Forbidden for url: https://www.railwaygazette.com/</w:t>
            </w:r>
          </w:p>
        </w:tc>
        <w:tc>
          <w:tcPr>
            <w:tcW w:type="dxa" w:w="4252"/>
            <w:shd w:val="clear" w:color="auto" w:fill="F3F5F7"/>
          </w:tcPr>
          <w:p>
            <w:r/>
            <w:r>
              <w:rPr>
                <w:sz w:val="19"/>
              </w:rPr>
              <w:t>The site blocks automated readers. Look for its RSS feed address, or rely on the Google News searches.</w:t>
            </w:r>
          </w:p>
        </w:tc>
      </w:tr>
      <w:tr>
        <w:tc>
          <w:tcPr>
            <w:tcW w:type="dxa" w:w="2268"/>
          </w:tcPr>
          <w:p>
            <w:r/>
            <w:r>
              <w:rPr>
                <w:sz w:val="19"/>
              </w:rPr>
              <w:t>Rail Technology Magazine</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International Construction</w:t>
            </w:r>
          </w:p>
        </w:tc>
        <w:tc>
          <w:tcPr>
            <w:tcW w:type="dxa" w:w="3118"/>
            <w:shd w:val="clear" w:color="auto" w:fill="F3F5F7"/>
          </w:tcPr>
          <w:p>
            <w:r/>
            <w:r>
              <w:rPr>
                <w:sz w:val="19"/>
              </w:rPr>
              <w:t>404 Client Error: Not Found for url: https://www.khl.com/international-construction</w:t>
            </w:r>
          </w:p>
        </w:tc>
        <w:tc>
          <w:tcPr>
            <w:tcW w:type="dxa" w:w="4252"/>
            <w:shd w:val="clear" w:color="auto" w:fill="F3F5F7"/>
          </w:tcPr>
          <w:p>
            <w:r/>
            <w:r>
              <w:rPr>
                <w:sz w:val="19"/>
              </w:rPr>
              <w:t>The address has moved. Update it in config.yaml.</w:t>
            </w:r>
          </w:p>
        </w:tc>
      </w:tr>
      <w:tr>
        <w:tc>
          <w:tcPr>
            <w:tcW w:type="dxa" w:w="2268"/>
          </w:tcPr>
          <w:p>
            <w:r/>
            <w:r>
              <w:rPr>
                <w:sz w:val="19"/>
              </w:rPr>
              <w:t>Engineering News-Record</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Construction Week (Middle East)</w:t>
            </w:r>
          </w:p>
        </w:tc>
        <w:tc>
          <w:tcPr>
            <w:tcW w:type="dxa" w:w="3118"/>
            <w:shd w:val="clear" w:color="auto" w:fill="F3F5F7"/>
          </w:tcPr>
          <w:p>
            <w:r/>
            <w:r>
              <w:rPr>
                <w:sz w:val="19"/>
              </w:rPr>
              <w:t>405 Client Error: Not Allowed for url: https://www.constructionweekonline.com/</w:t>
            </w:r>
          </w:p>
        </w:tc>
        <w:tc>
          <w:tcPr>
            <w:tcW w:type="dxa" w:w="4252"/>
            <w:shd w:val="clear" w:color="auto" w:fill="F3F5F7"/>
          </w:tcPr>
          <w:p>
            <w:r/>
            <w:r>
              <w:rPr>
                <w:sz w:val="19"/>
              </w:rPr>
              <w:t>The site blocks automated readers. Look for its RSS feed address, or rely on the Google News searches.</w:t>
            </w:r>
          </w:p>
        </w:tc>
      </w:tr>
    </w:tbl>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1</w:t>
            </w:r>
          </w:p>
        </w:tc>
        <w:tc>
          <w:tcPr>
            <w:tcW w:type="dxa" w:w="1134"/>
          </w:tcPr>
          <w:p>
            <w:r/>
            <w:r>
              <w:rPr>
                <w:sz w:val="19"/>
              </w:rPr>
              <w:t>30</w:t>
            </w:r>
          </w:p>
        </w:tc>
        <w:tc>
          <w:tcPr>
            <w:tcW w:type="dxa" w:w="1417"/>
          </w:tcPr>
          <w:p>
            <w:r/>
            <w:r>
              <w:rPr>
                <w:sz w:val="19"/>
              </w:rPr>
              <w:t>1</w:t>
            </w:r>
          </w:p>
        </w:tc>
        <w:tc>
          <w:tcPr>
            <w:tcW w:type="dxa" w:w="1701"/>
          </w:tcPr>
          <w:p>
            <w:r/>
            <w:r>
              <w:rPr>
                <w:sz w:val="19"/>
              </w:rPr>
              <w:t>11</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E9E5F9"/>
          </w:tcPr>
          <w:p>
            <w:r/>
            <w:r>
              <w:rPr>
                <w:b/>
                <w:color w:val="6B4FD6"/>
                <w:sz w:val="19"/>
              </w:rPr>
              <w:t>Digital Geotechnics</w:t>
            </w:r>
          </w:p>
        </w:tc>
        <w:tc>
          <w:tcPr>
            <w:tcW w:type="dxa" w:w="1417"/>
          </w:tcPr>
          <w:p>
            <w:r/>
            <w:r>
              <w:rPr>
                <w:sz w:val="19"/>
              </w:rPr>
              <w:t>1</w:t>
            </w:r>
          </w:p>
        </w:tc>
        <w:tc>
          <w:tcPr>
            <w:tcW w:type="dxa" w:w="1417"/>
          </w:tcPr>
          <w:p>
            <w:r/>
            <w:r>
              <w:rPr>
                <w:sz w:val="19"/>
              </w:rPr>
              <w:t>3%</w:t>
            </w:r>
          </w:p>
        </w:tc>
        <w:tc>
          <w:tcPr>
            <w:tcW w:type="dxa" w:w="1701"/>
          </w:tcPr>
          <w:p>
            <w:r/>
            <w:r>
              <w:rPr>
                <w:sz w:val="19"/>
              </w:rPr>
              <w:t>1</w:t>
            </w:r>
          </w:p>
        </w:tc>
      </w:tr>
      <w:tr>
        <w:tc>
          <w:tcPr>
            <w:tcW w:type="dxa" w:w="4535"/>
            <w:shd w:val="clear" w:color="auto" w:fill="FAE5DF"/>
          </w:tcPr>
          <w:p>
            <w:r/>
            <w:r>
              <w:rPr>
                <w:b/>
                <w:color w:val="E04F2C"/>
                <w:sz w:val="19"/>
              </w:rPr>
              <w:t>Hazards &amp; Resilience</w:t>
            </w:r>
          </w:p>
        </w:tc>
        <w:tc>
          <w:tcPr>
            <w:tcW w:type="dxa" w:w="1417"/>
            <w:shd w:val="clear" w:color="auto" w:fill="F3F5F7"/>
          </w:tcPr>
          <w:p>
            <w:r/>
            <w:r>
              <w:rPr>
                <w:sz w:val="19"/>
              </w:rPr>
              <w:t>18</w:t>
            </w:r>
          </w:p>
        </w:tc>
        <w:tc>
          <w:tcPr>
            <w:tcW w:type="dxa" w:w="1417"/>
            <w:shd w:val="clear" w:color="auto" w:fill="F3F5F7"/>
          </w:tcPr>
          <w:p>
            <w:r/>
            <w:r>
              <w:rPr>
                <w:sz w:val="19"/>
              </w:rPr>
              <w:t>60%</w:t>
            </w:r>
          </w:p>
        </w:tc>
        <w:tc>
          <w:tcPr>
            <w:tcW w:type="dxa" w:w="1701"/>
            <w:shd w:val="clear" w:color="auto" w:fill="F3F5F7"/>
          </w:tcPr>
          <w:p>
            <w:r/>
            <w:r>
              <w:rPr>
                <w:sz w:val="19"/>
              </w:rPr>
              <w:t>15</w:t>
            </w:r>
          </w:p>
        </w:tc>
      </w:tr>
      <w:tr>
        <w:tc>
          <w:tcPr>
            <w:tcW w:type="dxa" w:w="4535"/>
            <w:shd w:val="clear" w:color="auto" w:fill="DEE8F9"/>
          </w:tcPr>
          <w:p>
            <w:r/>
            <w:r>
              <w:rPr>
                <w:b/>
                <w:color w:val="2563D6"/>
                <w:sz w:val="19"/>
              </w:rPr>
              <w:t>Infrastructure &amp; the Underground City</w:t>
            </w:r>
          </w:p>
        </w:tc>
        <w:tc>
          <w:tcPr>
            <w:tcW w:type="dxa" w:w="1417"/>
          </w:tcPr>
          <w:p>
            <w:r/>
            <w:r>
              <w:rPr>
                <w:sz w:val="19"/>
              </w:rPr>
              <w:t>5</w:t>
            </w:r>
          </w:p>
        </w:tc>
        <w:tc>
          <w:tcPr>
            <w:tcW w:type="dxa" w:w="1417"/>
          </w:tcPr>
          <w:p>
            <w:r/>
            <w:r>
              <w:rPr>
                <w:sz w:val="19"/>
              </w:rPr>
              <w:t>17%</w:t>
            </w:r>
          </w:p>
        </w:tc>
        <w:tc>
          <w:tcPr>
            <w:tcW w:type="dxa" w:w="1701"/>
          </w:tcPr>
          <w:p>
            <w:r/>
            <w:r>
              <w:rPr>
                <w:sz w:val="19"/>
              </w:rPr>
              <w:t>2</w:t>
            </w:r>
          </w:p>
        </w:tc>
      </w:tr>
      <w:tr>
        <w:tc>
          <w:tcPr>
            <w:tcW w:type="dxa" w:w="4535"/>
            <w:shd w:val="clear" w:color="auto" w:fill="F6E2EB"/>
          </w:tcPr>
          <w:p>
            <w:r/>
            <w:r>
              <w:rPr>
                <w:b/>
                <w:color w:val="C23D7B"/>
                <w:sz w:val="19"/>
              </w:rPr>
              <w:t>Characterisation &amp; Modelling</w:t>
            </w:r>
          </w:p>
        </w:tc>
        <w:tc>
          <w:tcPr>
            <w:tcW w:type="dxa" w:w="1417"/>
            <w:shd w:val="clear" w:color="auto" w:fill="F3F5F7"/>
          </w:tcPr>
          <w:p>
            <w:r/>
            <w:r>
              <w:rPr>
                <w:sz w:val="19"/>
              </w:rPr>
              <w:t>4</w:t>
            </w:r>
          </w:p>
        </w:tc>
        <w:tc>
          <w:tcPr>
            <w:tcW w:type="dxa" w:w="1417"/>
            <w:shd w:val="clear" w:color="auto" w:fill="F3F5F7"/>
          </w:tcPr>
          <w:p>
            <w:r/>
            <w:r>
              <w:rPr>
                <w:sz w:val="19"/>
              </w:rPr>
              <w:t>13%</w:t>
            </w:r>
          </w:p>
        </w:tc>
        <w:tc>
          <w:tcPr>
            <w:tcW w:type="dxa" w:w="1701"/>
            <w:shd w:val="clear" w:color="auto" w:fill="F3F5F7"/>
          </w:tcPr>
          <w:p>
            <w:r/>
            <w:r>
              <w:rPr>
                <w:sz w:val="19"/>
              </w:rPr>
              <w:t>4</w:t>
            </w:r>
          </w:p>
        </w:tc>
      </w:tr>
      <w:tr>
        <w:tc>
          <w:tcPr>
            <w:tcW w:type="dxa" w:w="4535"/>
            <w:shd w:val="clear" w:color="auto" w:fill="EDE6DF"/>
          </w:tcPr>
          <w:p>
            <w:r/>
            <w:r>
              <w:rPr>
                <w:b/>
                <w:color w:val="8A5A2B"/>
                <w:sz w:val="19"/>
              </w:rPr>
              <w:t>Geotechnics &amp; Society</w:t>
            </w:r>
          </w:p>
        </w:tc>
        <w:tc>
          <w:tcPr>
            <w:tcW w:type="dxa" w:w="1417"/>
          </w:tcPr>
          <w:p>
            <w:r/>
            <w:r>
              <w:rPr>
                <w:sz w:val="19"/>
              </w:rPr>
              <w:t>2</w:t>
            </w:r>
          </w:p>
        </w:tc>
        <w:tc>
          <w:tcPr>
            <w:tcW w:type="dxa" w:w="1417"/>
          </w:tcPr>
          <w:p>
            <w:r/>
            <w:r>
              <w:rPr>
                <w:sz w:val="19"/>
              </w:rPr>
              <w:t>7%</w:t>
            </w:r>
          </w:p>
        </w:tc>
        <w:tc>
          <w:tcPr>
            <w:tcW w:type="dxa" w:w="1701"/>
          </w:tcPr>
          <w:p>
            <w:r/>
            <w:r>
              <w:rPr>
                <w:sz w:val="19"/>
              </w:rPr>
              <w:t>0</w:t>
            </w:r>
          </w:p>
        </w:tc>
      </w:tr>
    </w:tbl>
    <w:p/>
    <w:p>
      <w:pPr>
        <w:pStyle w:val="Heading1"/>
      </w:pPr>
      <w:r>
        <w:rPr>
          <w:color w:val="16324F"/>
        </w:rPr>
        <w:t>6. Research papers (Q4 2026)</w:t>
      </w:r>
    </w:p>
    <w:p>
      <w:r>
        <w:t>No research papers have been collected in this issue window yet.</w:t>
      </w:r>
    </w:p>
    <w:p>
      <w:pPr>
        <w:pStyle w:val="Heading1"/>
      </w:pPr>
      <w:r>
        <w:rPr>
          <w:color w:val="16324F"/>
        </w:rPr>
        <w:t>7. Issue briefs</w:t>
      </w:r>
    </w:p>
    <w:p>
      <w:r>
        <w:t>No issue brief has been generated yet. Drafts appear automatically in the last weeks of each quarter, a final brief right after it closes, and any time from the issue page.</w:t>
      </w:r>
    </w:p>
    <w:p>
      <w:pPr>
        <w:pStyle w:val="Heading1"/>
      </w:pPr>
      <w:r>
        <w:rPr>
          <w:color w:val="16324F"/>
        </w:rPr>
        <w:t>8. Change log</w:t>
      </w:r>
    </w:p>
    <w:p>
      <w:pPr>
        <w:spacing w:before="160"/>
      </w:pPr>
      <w:r>
        <w:rPr>
          <w:b/>
          <w:color w:val="23466B"/>
        </w:rPr>
        <w:t>2026-10-24 · Balanced digests, same-event merging, interactive Excel workbook</w:t>
      </w:r>
    </w:p>
    <w:p>
      <w:pPr>
        <w:pStyle w:val="ListBullet"/>
      </w:pPr>
      <w:r>
        <w:t>Every digest now spans the magazine's themes. No theme may take more than 30 % of the stories, and themes take turns, so a flood of one kind of story (on 24 October, landslides) can no longer fill the whole digest. A re-scan on the same day re-balances the morning's digest.</w:t>
      </w:r>
    </w:p>
    <w:p>
      <w:pPr>
        <w:pStyle w:val="ListBullet"/>
      </w:pPr>
      <w:r>
        <w:t>Several outlets reporting the same event (for example eight reports of one landslide in Moniquirá, Colombia) are merged into one story.</w:t>
      </w:r>
    </w:p>
    <w:p>
      <w:pPr>
        <w:pStyle w:val="ListBullet"/>
      </w:pPr>
      <w:r>
        <w:t>Chinese, Japanese, Arabic and Hindi headlines are no longer thrown away as false duplicates of each other.</w:t>
      </w:r>
    </w:p>
    <w:p>
      <w:pPr>
        <w:pStyle w:val="ListBullet"/>
      </w:pPr>
      <w:r>
        <w:t>English stories are no longer crowded out by foreign-language results; the language bonus only helps foreign headlines reach Claude.</w:t>
      </w:r>
    </w:p>
    <w:p>
      <w:pPr>
        <w:pStyle w:val="ListBullet"/>
      </w:pPr>
      <w:r>
        <w:t>Keyword false matches removed after review - election "landslides", LNG "liquefaction", market slumps (Italian frana, Chinese 滑坡), insolvencies, pile-ups, building land (German Baugrund) and other false friends - and inflected forms such as tunnelling, frane and Erdrutsche added.</w:t>
      </w:r>
    </w:p>
    <w:p>
      <w:pPr>
        <w:pStyle w:val="ListBullet"/>
      </w:pPr>
      <w:r>
        <w:t>If Anthropic rejects the API key, the digest notes now say why (for example a key that is cut short, an admin key or a subscription token) without showing the key.</w:t>
      </w:r>
    </w:p>
    <w:p>
      <w:pPr>
        <w:pStyle w:val="ListBullet"/>
      </w:pPr>
      <w:r>
        <w:t>The Excel workbooks were redesigned - a Start here sheet, an interactive dashboard whose figures, charts and Top 10 follow dropdown selectors, planning columns (Status, Assigned to, Editor notes), a By theme reading view with collapsible sections, and a Sources sheet.</w:t>
      </w:r>
    </w:p>
    <w:p>
      <w:pPr>
        <w:spacing w:before="160"/>
      </w:pPr>
      <w:r>
        <w:rPr>
          <w:b/>
          <w:color w:val="23466B"/>
        </w:rPr>
        <w:t>2026-10-24 · No more key prompts; clash-proof saving</w:t>
      </w:r>
    </w:p>
    <w:p>
      <w:pPr>
        <w:pStyle w:val="ListBullet"/>
      </w:pPr>
      <w:r>
        <w:t>The website no longer asks for a GitHub token or an Anthropic key. Scan now opens the scan's page on GitHub, where you press Run workflow, and the website then follows the scan and says when the new digest is ready.</w:t>
      </w:r>
    </w:p>
    <w:p>
      <w:pPr>
        <w:pStyle w:val="ListBullet"/>
      </w:pPr>
      <w:r>
        <w:t>The AI assistant now talks to a small connector in the editor's own Google account (assistant/bridge.gs), which reads the Anthropic key from the editor's private Google Doc. The key never reaches the website or the repository. Until the connector is set up, the assistant page says so instead of asking for a key.</w:t>
      </w:r>
    </w:p>
    <w:p>
      <w:pPr>
        <w:pStyle w:val="ListBullet"/>
      </w:pPr>
      <w:r>
        <w:t>Saving a scan can no longer fail with merge conflicts. A re-run of the first scan on 24 October started from old code and clashed with the newer website; the save step now puts each run's data on the newest version of the site and rebuilds the pages from it.</w:t>
      </w:r>
    </w:p>
    <w:p>
      <w:pPr>
        <w:pStyle w:val="ListBullet"/>
      </w:pPr>
      <w:r>
        <w:t>Queued or re-run scans start from the newest version of the repository, not the commit that queued them.</w:t>
      </w:r>
    </w:p>
    <w:p>
      <w:pPr>
        <w:pStyle w:val="ListBullet"/>
      </w:pPr>
      <w:r>
        <w:t>The AI assistant was connected to the editor's Google connector. If the connector reports a problem (for example it cannot find or open the key document), the assistant page now shows the reason and what to do.</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9. Open items and recommendations</w:t>
      </w:r>
    </w:p>
    <w:p>
      <w:pPr>
        <w:pStyle w:val="ListBullet"/>
      </w:pPr>
      <w:r>
        <w:t>Replace the addresses of failing websites with their RSS feeds (see Source health).</w:t>
      </w:r>
    </w:p>
    <w:p>
      <w:pPr>
        <w:pStyle w:val="ListBullet"/>
      </w:pPr>
      <w:r>
        <w:t>Check that the ANTHROPIC_API_KEY secret is accepted (the first scan reported it as rejected).</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