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03:13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(16:34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1499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0 of 60</w:t>
            </w:r>
          </w:p>
        </w:tc>
      </w:tr>
      <w:tr>
        <w:tc>
          <w:tcPr>
            <w:tcW w:type="dxa" w:w="4535"/>
          </w:tcPr>
          <w:p>
            <w:r/>
            <w:r>
              <w:rPr>
                <w:sz w:val="19"/>
              </w:rPr>
              <w:t>Developing stories (two or more reports)</w:t>
            </w:r>
          </w:p>
        </w:tc>
        <w:tc>
          <w:tcPr>
            <w:tcW w:type="dxa" w:w="5102"/>
          </w:tcPr>
          <w:p>
            <w:r/>
            <w:r>
              <w:rPr>
                <w:sz w:val="19"/>
              </w:rPr>
              <w:t>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8 themes covered; the largest is Infrastructure &amp; the Underground City with 17 of 60 stories (28%).</w:t>
      </w:r>
    </w:p>
    <w:p>
      <w:pPr>
        <w:spacing w:after="60"/>
      </w:pPr>
      <w:r>
        <w:rPr>
          <w:b/>
          <w:color w:val="5B6573"/>
        </w:rPr>
        <w:t xml:space="preserve">• </w:t>
      </w:r>
      <w:r>
        <w:t>41 different outlets contributed; the most frequent was Vietnam.vn (16 stories).</w:t>
      </w:r>
    </w:p>
    <w:p>
      <w:pPr>
        <w:spacing w:after="60"/>
      </w:pPr>
      <w:r>
        <w:rPr>
          <w:b/>
          <w:color w:val="5B6573"/>
        </w:rPr>
        <w:t xml:space="preserve">• </w:t>
      </w:r>
      <w:r>
        <w:t>51 stories came from non-English Google News editions.</w:t>
      </w:r>
    </w:p>
    <w:p>
      <w:pPr>
        <w:spacing w:after="60"/>
      </w:pPr>
      <w:r>
        <w:rPr>
          <w:b/>
          <w:color w:val="5B6573"/>
        </w:rPr>
        <w:t xml:space="preserve">• </w:t>
      </w:r>
      <w:r>
        <w:t>43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6</w:t>
            </w:r>
          </w:p>
        </w:tc>
        <w:tc>
          <w:tcPr>
            <w:tcW w:type="dxa" w:w="1701"/>
          </w:tcPr>
          <w:p>
            <w:r/>
            <w:r>
              <w:rPr>
                <w:sz w:val="19"/>
              </w:rPr>
              <w:t>24</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5%</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w:t>
            </w:r>
          </w:p>
        </w:tc>
        <w:tc>
          <w:tcPr>
            <w:tcW w:type="dxa" w:w="1417"/>
            <w:shd w:val="clear" w:color="auto" w:fill="F3F5F7"/>
          </w:tcPr>
          <w:p>
            <w:r/>
            <w:r>
              <w:rPr>
                <w:sz w:val="19"/>
              </w:rPr>
              <w:t>2%</w:t>
            </w:r>
          </w:p>
        </w:tc>
        <w:tc>
          <w:tcPr>
            <w:tcW w:type="dxa" w:w="1701"/>
            <w:shd w:val="clear" w:color="auto" w:fill="F3F5F7"/>
          </w:tcPr>
          <w:p>
            <w:r/>
            <w:r>
              <w:rPr>
                <w:sz w:val="19"/>
              </w:rPr>
              <w:t>1</w:t>
            </w:r>
          </w:p>
        </w:tc>
      </w:tr>
      <w:tr>
        <w:tc>
          <w:tcPr>
            <w:tcW w:type="dxa" w:w="4535"/>
            <w:shd w:val="clear" w:color="auto" w:fill="FAE5DF"/>
          </w:tcPr>
          <w:p>
            <w:r/>
            <w:r>
              <w:rPr>
                <w:b/>
                <w:color w:val="E04F2C"/>
                <w:sz w:val="19"/>
              </w:rPr>
              <w:t>Hazards &amp; Resilience</w:t>
            </w:r>
          </w:p>
        </w:tc>
        <w:tc>
          <w:tcPr>
            <w:tcW w:type="dxa" w:w="1417"/>
          </w:tcPr>
          <w:p>
            <w:r/>
            <w:r>
              <w:rPr>
                <w:sz w:val="19"/>
              </w:rPr>
              <w:t>17</w:t>
            </w:r>
          </w:p>
        </w:tc>
        <w:tc>
          <w:tcPr>
            <w:tcW w:type="dxa" w:w="1417"/>
          </w:tcPr>
          <w:p>
            <w:r/>
            <w:r>
              <w:rPr>
                <w:sz w:val="19"/>
              </w:rPr>
              <w:t>28%</w:t>
            </w:r>
          </w:p>
        </w:tc>
        <w:tc>
          <w:tcPr>
            <w:tcW w:type="dxa" w:w="1701"/>
          </w:tcPr>
          <w:p>
            <w:r/>
            <w:r>
              <w:rPr>
                <w:sz w:val="19"/>
              </w:rPr>
              <w:t>17</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3%</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17</w:t>
            </w:r>
          </w:p>
        </w:tc>
        <w:tc>
          <w:tcPr>
            <w:tcW w:type="dxa" w:w="1417"/>
          </w:tcPr>
          <w:p>
            <w:r/>
            <w:r>
              <w:rPr>
                <w:sz w:val="19"/>
              </w:rPr>
              <w:t>28%</w:t>
            </w:r>
          </w:p>
        </w:tc>
        <w:tc>
          <w:tcPr>
            <w:tcW w:type="dxa" w:w="1701"/>
          </w:tcPr>
          <w:p>
            <w:r/>
            <w:r>
              <w:rPr>
                <w:sz w:val="19"/>
              </w:rPr>
              <w:t>10</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10</w:t>
            </w:r>
          </w:p>
        </w:tc>
        <w:tc>
          <w:tcPr>
            <w:tcW w:type="dxa" w:w="1417"/>
            <w:shd w:val="clear" w:color="auto" w:fill="F3F5F7"/>
          </w:tcPr>
          <w:p>
            <w:r/>
            <w:r>
              <w:rPr>
                <w:sz w:val="19"/>
              </w:rPr>
              <w:t>17%</w:t>
            </w:r>
          </w:p>
        </w:tc>
        <w:tc>
          <w:tcPr>
            <w:tcW w:type="dxa" w:w="1701"/>
            <w:shd w:val="clear" w:color="auto" w:fill="F3F5F7"/>
          </w:tcPr>
          <w:p>
            <w:r/>
            <w:r>
              <w:rPr>
                <w:sz w:val="19"/>
              </w:rPr>
              <w:t>7</w:t>
            </w:r>
          </w:p>
        </w:tc>
      </w:tr>
      <w:tr>
        <w:tc>
          <w:tcPr>
            <w:tcW w:type="dxa" w:w="4535"/>
            <w:shd w:val="clear" w:color="auto" w:fill="F6E2EB"/>
          </w:tcPr>
          <w:p>
            <w:r/>
            <w:r>
              <w:rPr>
                <w:b/>
                <w:color w:val="C23D7B"/>
                <w:sz w:val="19"/>
              </w:rPr>
              <w:t>Characterisation &amp; Modelling</w:t>
            </w:r>
          </w:p>
        </w:tc>
        <w:tc>
          <w:tcPr>
            <w:tcW w:type="dxa" w:w="1417"/>
          </w:tcPr>
          <w:p>
            <w:r/>
            <w:r>
              <w:rPr>
                <w:sz w:val="19"/>
              </w:rPr>
              <w:t>6</w:t>
            </w:r>
          </w:p>
        </w:tc>
        <w:tc>
          <w:tcPr>
            <w:tcW w:type="dxa" w:w="1417"/>
          </w:tcPr>
          <w:p>
            <w:r/>
            <w:r>
              <w:rPr>
                <w:sz w:val="19"/>
              </w:rPr>
              <w:t>10%</w:t>
            </w:r>
          </w:p>
        </w:tc>
        <w:tc>
          <w:tcPr>
            <w:tcW w:type="dxa" w:w="1701"/>
          </w:tcPr>
          <w:p>
            <w:r/>
            <w:r>
              <w:rPr>
                <w:sz w:val="19"/>
              </w:rPr>
              <w:t>5</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4</w:t>
            </w:r>
          </w:p>
        </w:tc>
        <w:tc>
          <w:tcPr>
            <w:tcW w:type="dxa" w:w="1417"/>
            <w:shd w:val="clear" w:color="auto" w:fill="F3F5F7"/>
          </w:tcPr>
          <w:p>
            <w:r/>
            <w:r>
              <w:rPr>
                <w:sz w:val="19"/>
              </w:rPr>
              <w:t>7%</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0 of 60 stories are located in a country of one of ISSMGE's six regions; 0 are global or about several countries and 60 have no location yet. No story is located in a country yet, so no member-society country is counted as a gap.</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 of 8</w:t>
            </w:r>
          </w:p>
        </w:tc>
        <w:tc>
          <w:tcPr>
            <w:tcW w:type="dxa" w:w="4989"/>
          </w:tcPr>
          <w:p>
            <w:r/>
            <w:r>
              <w:rPr>
                <w:sz w:val="19"/>
              </w:rPr>
              <w:t>Shown once stories are located</w:t>
            </w:r>
          </w:p>
        </w:tc>
      </w:tr>
      <w:tr>
        <w:tc>
          <w:tcPr>
            <w:tcW w:type="dxa" w:w="1814"/>
            <w:shd w:val="clear" w:color="auto" w:fill="F3F5F7"/>
          </w:tcPr>
          <w:p>
            <w:r/>
            <w:r>
              <w:rPr>
                <w:sz w:val="19"/>
              </w:rPr>
              <w:t>Asia</w:t>
            </w:r>
          </w:p>
        </w:tc>
        <w:tc>
          <w:tcPr>
            <w:tcW w:type="dxa" w:w="1020"/>
            <w:shd w:val="clear" w:color="auto" w:fill="F3F5F7"/>
          </w:tcPr>
          <w:p>
            <w:r/>
            <w:r>
              <w:rPr>
                <w:sz w:val="19"/>
              </w:rPr>
              <w:t>0</w:t>
            </w:r>
          </w:p>
        </w:tc>
        <w:tc>
          <w:tcPr>
            <w:tcW w:type="dxa" w:w="1814"/>
            <w:shd w:val="clear" w:color="auto" w:fill="F3F5F7"/>
          </w:tcPr>
          <w:p>
            <w:r/>
            <w:r>
              <w:rPr>
                <w:sz w:val="19"/>
              </w:rPr>
              <w:t>– of 26</w:t>
            </w:r>
          </w:p>
        </w:tc>
        <w:tc>
          <w:tcPr>
            <w:tcW w:type="dxa" w:w="4989"/>
            <w:shd w:val="clear" w:color="auto" w:fill="F3F5F7"/>
          </w:tcPr>
          <w:p>
            <w:r/>
            <w:r>
              <w:rPr>
                <w:sz w:val="19"/>
              </w:rPr>
              <w:t>Shown once stories are located</w:t>
            </w:r>
          </w:p>
        </w:tc>
      </w:tr>
      <w:tr>
        <w:tc>
          <w:tcPr>
            <w:tcW w:type="dxa" w:w="1814"/>
          </w:tcPr>
          <w:p>
            <w:r/>
            <w:r>
              <w:rPr>
                <w:sz w:val="19"/>
              </w:rPr>
              <w:t>Australasia</w:t>
            </w:r>
          </w:p>
        </w:tc>
        <w:tc>
          <w:tcPr>
            <w:tcW w:type="dxa" w:w="1020"/>
          </w:tcPr>
          <w:p>
            <w:r/>
            <w:r>
              <w:rPr>
                <w:sz w:val="19"/>
              </w:rPr>
              <w:t>0</w:t>
            </w:r>
          </w:p>
        </w:tc>
        <w:tc>
          <w:tcPr>
            <w:tcW w:type="dxa" w:w="1814"/>
          </w:tcPr>
          <w:p>
            <w:r/>
            <w:r>
              <w:rPr>
                <w:sz w:val="19"/>
              </w:rPr>
              <w:t>– of 2</w:t>
            </w:r>
          </w:p>
        </w:tc>
        <w:tc>
          <w:tcPr>
            <w:tcW w:type="dxa" w:w="4989"/>
          </w:tcPr>
          <w:p>
            <w:r/>
            <w:r>
              <w:rPr>
                <w:sz w:val="19"/>
              </w:rPr>
              <w:t>Shown once stories are located</w:t>
            </w:r>
          </w:p>
        </w:tc>
      </w:tr>
      <w:tr>
        <w:tc>
          <w:tcPr>
            <w:tcW w:type="dxa" w:w="1814"/>
            <w:shd w:val="clear" w:color="auto" w:fill="F3F5F7"/>
          </w:tcPr>
          <w:p>
            <w:r/>
            <w:r>
              <w:rPr>
                <w:sz w:val="19"/>
              </w:rPr>
              <w:t>Europe</w:t>
            </w:r>
          </w:p>
        </w:tc>
        <w:tc>
          <w:tcPr>
            <w:tcW w:type="dxa" w:w="1020"/>
            <w:shd w:val="clear" w:color="auto" w:fill="F3F5F7"/>
          </w:tcPr>
          <w:p>
            <w:r/>
            <w:r>
              <w:rPr>
                <w:sz w:val="19"/>
              </w:rPr>
              <w:t>0</w:t>
            </w:r>
          </w:p>
        </w:tc>
        <w:tc>
          <w:tcPr>
            <w:tcW w:type="dxa" w:w="1814"/>
            <w:shd w:val="clear" w:color="auto" w:fill="F3F5F7"/>
          </w:tcPr>
          <w:p>
            <w:r/>
            <w:r>
              <w:rPr>
                <w:sz w:val="19"/>
              </w:rPr>
              <w:t>– of 37</w:t>
            </w:r>
          </w:p>
        </w:tc>
        <w:tc>
          <w:tcPr>
            <w:tcW w:type="dxa" w:w="4989"/>
            <w:shd w:val="clear" w:color="auto" w:fill="F3F5F7"/>
          </w:tcPr>
          <w:p>
            <w:r/>
            <w:r>
              <w:rPr>
                <w:sz w:val="19"/>
              </w:rPr>
              <w:t>Shown once stories are located</w:t>
            </w:r>
          </w:p>
        </w:tc>
      </w:tr>
      <w:tr>
        <w:tc>
          <w:tcPr>
            <w:tcW w:type="dxa" w:w="1814"/>
          </w:tcPr>
          <w:p>
            <w:r/>
            <w:r>
              <w:rPr>
                <w:sz w:val="19"/>
              </w:rPr>
              <w:t>North America</w:t>
            </w:r>
          </w:p>
        </w:tc>
        <w:tc>
          <w:tcPr>
            <w:tcW w:type="dxa" w:w="1020"/>
          </w:tcPr>
          <w:p>
            <w:r/>
            <w:r>
              <w:rPr>
                <w:sz w:val="19"/>
              </w:rPr>
              <w:t>0</w:t>
            </w:r>
          </w:p>
        </w:tc>
        <w:tc>
          <w:tcPr>
            <w:tcW w:type="dxa" w:w="1814"/>
          </w:tcPr>
          <w:p>
            <w:r/>
            <w:r>
              <w:rPr>
                <w:sz w:val="19"/>
              </w:rPr>
              <w:t>– of 3</w:t>
            </w:r>
          </w:p>
        </w:tc>
        <w:tc>
          <w:tcPr>
            <w:tcW w:type="dxa" w:w="4989"/>
          </w:tcPr>
          <w:p>
            <w:r/>
            <w:r>
              <w:rPr>
                <w:sz w:val="19"/>
              </w:rPr>
              <w:t>Shown once stories are located</w:t>
            </w:r>
          </w:p>
        </w:tc>
      </w:tr>
      <w:tr>
        <w:tc>
          <w:tcPr>
            <w:tcW w:type="dxa" w:w="1814"/>
            <w:shd w:val="clear" w:color="auto" w:fill="F3F5F7"/>
          </w:tcPr>
          <w:p>
            <w:r/>
            <w:r>
              <w:rPr>
                <w:sz w:val="19"/>
              </w:rPr>
              <w:t>South America</w:t>
            </w:r>
          </w:p>
        </w:tc>
        <w:tc>
          <w:tcPr>
            <w:tcW w:type="dxa" w:w="1020"/>
            <w:shd w:val="clear" w:color="auto" w:fill="F3F5F7"/>
          </w:tcPr>
          <w:p>
            <w:r/>
            <w:r>
              <w:rPr>
                <w:sz w:val="19"/>
              </w:rPr>
              <w:t>0</w:t>
            </w:r>
          </w:p>
        </w:tc>
        <w:tc>
          <w:tcPr>
            <w:tcW w:type="dxa" w:w="1814"/>
            <w:shd w:val="clear" w:color="auto" w:fill="F3F5F7"/>
          </w:tcPr>
          <w:p>
            <w:r/>
            <w:r>
              <w:rPr>
                <w:sz w:val="19"/>
              </w:rPr>
              <w:t>– of 11</w:t>
            </w:r>
          </w:p>
        </w:tc>
        <w:tc>
          <w:tcPr>
            <w:tcW w:type="dxa" w:w="4989"/>
            <w:shd w:val="clear" w:color="auto" w:fill="F3F5F7"/>
          </w:tcPr>
          <w:p>
            <w:r/>
            <w:r>
              <w:rPr>
                <w:sz w:val="19"/>
              </w:rPr>
              <w:t>Shown once stories are located</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No developing stories yet: they appear when a new report follows up an earlier story in the archive (an inquiry into a landslide reported last month, for example).</w:t>
      </w:r>
    </w:p>
    <w:p>
      <w:pPr>
        <w:pStyle w:val="Heading1"/>
      </w:pPr>
      <w:r>
        <w:rPr>
          <w:color w:val="16324F"/>
        </w:rPr>
        <w:t>8. Research papers (Q4 2026)</w:t>
      </w:r>
    </w:p>
    <w:p>
      <w:r>
        <w:t>20 new papers from 12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Computers and Geotechnics</w:t>
            </w:r>
          </w:p>
        </w:tc>
        <w:tc>
          <w:tcPr>
            <w:tcW w:type="dxa" w:w="1701"/>
            <w:shd w:val="clear" w:color="auto" w:fill="F3F5F7"/>
          </w:tcPr>
          <w:p>
            <w:r/>
            <w:r>
              <w:rPr>
                <w:sz w:val="19"/>
              </w:rPr>
              <w:t>2</w:t>
            </w:r>
          </w:p>
        </w:tc>
      </w:tr>
      <w:tr>
        <w:tc>
          <w:tcPr>
            <w:tcW w:type="dxa" w:w="6803"/>
          </w:tcPr>
          <w:p>
            <w:r/>
            <w:r>
              <w:rPr>
                <w:sz w:val="19"/>
              </w:rPr>
              <w:t>Tunnelling and Underground Space Technology</w:t>
            </w:r>
          </w:p>
        </w:tc>
        <w:tc>
          <w:tcPr>
            <w:tcW w:type="dxa" w:w="1701"/>
          </w:tcPr>
          <w:p>
            <w:r/>
            <w:r>
              <w:rPr>
                <w:sz w:val="19"/>
              </w:rPr>
              <w:t>2</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deadline (call for papers, registration)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Catch-up scans</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