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26 October 2026, 10:25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2026-10-26 (07:17 UTC)</w:t>
            </w:r>
          </w:p>
        </w:tc>
      </w:tr>
      <w:tr>
        <w:tc>
          <w:tcPr>
            <w:tcW w:type="dxa" w:w="4535"/>
            <w:shd w:val="clear" w:color="auto" w:fill="F3F5F7"/>
          </w:tcPr>
          <w:p>
            <w:r/>
            <w:r>
              <w:rPr>
                <w:sz w:val="19"/>
              </w:rPr>
              <w:t>Stories in latest digest</w:t>
            </w:r>
          </w:p>
        </w:tc>
        <w:tc>
          <w:tcPr>
            <w:tcW w:type="dxa" w:w="5102"/>
            <w:shd w:val="clear" w:color="auto" w:fill="F3F5F7"/>
          </w:tcPr>
          <w:p>
            <w:r/>
            <w:r>
              <w:rPr>
                <w:sz w:val="19"/>
              </w:rPr>
              <w:t>43</w:t>
            </w:r>
          </w:p>
        </w:tc>
      </w:tr>
      <w:tr>
        <w:tc>
          <w:tcPr>
            <w:tcW w:type="dxa" w:w="4535"/>
          </w:tcPr>
          <w:p>
            <w:r/>
            <w:r>
              <w:rPr>
                <w:sz w:val="19"/>
              </w:rPr>
              <w:t>New items scanned</w:t>
            </w:r>
          </w:p>
        </w:tc>
        <w:tc>
          <w:tcPr>
            <w:tcW w:type="dxa" w:w="5102"/>
          </w:tcPr>
          <w:p>
            <w:r/>
            <w:r>
              <w:rPr>
                <w:sz w:val="19"/>
              </w:rPr>
              <w:t>533</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150</w:t>
            </w:r>
          </w:p>
        </w:tc>
      </w:tr>
      <w:tr>
        <w:tc>
          <w:tcPr>
            <w:tcW w:type="dxa" w:w="4535"/>
            <w:shd w:val="clear" w:color="auto" w:fill="F3F5F7"/>
          </w:tcPr>
          <w:p>
            <w:r/>
            <w:r>
              <w:rPr>
                <w:sz w:val="19"/>
              </w:rPr>
              <w:t>Daily digests archived</w:t>
            </w:r>
          </w:p>
        </w:tc>
        <w:tc>
          <w:tcPr>
            <w:tcW w:type="dxa" w:w="5102"/>
            <w:shd w:val="clear" w:color="auto" w:fill="F3F5F7"/>
          </w:tcPr>
          <w:p>
            <w:r/>
            <w:r>
              <w:rPr>
                <w:sz w:val="19"/>
              </w:rPr>
              <w:t>3</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141 of 150</w:t>
            </w:r>
          </w:p>
        </w:tc>
      </w:tr>
      <w:tr>
        <w:tc>
          <w:tcPr>
            <w:tcW w:type="dxa" w:w="4535"/>
          </w:tcPr>
          <w:p>
            <w:r/>
            <w:r>
              <w:rPr>
                <w:sz w:val="19"/>
              </w:rPr>
              <w:t>Developing stories (two or more reports)</w:t>
            </w:r>
          </w:p>
        </w:tc>
        <w:tc>
          <w:tcPr>
            <w:tcW w:type="dxa" w:w="5102"/>
          </w:tcPr>
          <w:p>
            <w:r/>
            <w:r>
              <w:rPr>
                <w:sz w:val="19"/>
              </w:rPr>
              <w:t>17</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43 stories (42%).</w:t>
      </w:r>
    </w:p>
    <w:p>
      <w:pPr>
        <w:spacing w:after="60"/>
      </w:pPr>
      <w:r>
        <w:rPr>
          <w:b/>
          <w:color w:val="5B6573"/>
        </w:rPr>
        <w:t xml:space="preserve">• </w:t>
      </w:r>
      <w:r>
        <w:t>39 different outlets contributed; the most frequent was Vietnam.vn (4 stories).</w:t>
      </w:r>
    </w:p>
    <w:p>
      <w:pPr>
        <w:spacing w:after="60"/>
      </w:pPr>
      <w:r>
        <w:rPr>
          <w:b/>
          <w:color w:val="5B6573"/>
        </w:rPr>
        <w:t xml:space="preserve">• </w:t>
      </w:r>
      <w:r>
        <w:t>37 stories came from non-English Google News editions.</w:t>
      </w:r>
    </w:p>
    <w:p>
      <w:pPr>
        <w:spacing w:after="60"/>
      </w:pPr>
      <w:r>
        <w:rPr>
          <w:b/>
          <w:color w:val="5B6573"/>
        </w:rPr>
        <w:t xml:space="preserve">• </w:t>
      </w:r>
      <w:r>
        <w:t>28 stories were rated 4 or 5 out of 5.</w:t>
      </w:r>
    </w:p>
    <w:p>
      <w:pPr>
        <w:spacing w:after="60"/>
      </w:pPr>
      <w:r>
        <w:rPr>
          <w:b/>
          <w:color w:val="5B6573"/>
        </w:rPr>
        <w:t xml:space="preserve">• </w:t>
      </w:r>
      <w:r>
        <w:t>41 of the 43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3</w:t>
            </w:r>
          </w:p>
        </w:tc>
        <w:tc>
          <w:tcPr>
            <w:tcW w:type="dxa" w:w="1134"/>
          </w:tcPr>
          <w:p>
            <w:r/>
            <w:r>
              <w:rPr>
                <w:sz w:val="19"/>
              </w:rPr>
              <w:t>150</w:t>
            </w:r>
          </w:p>
        </w:tc>
        <w:tc>
          <w:tcPr>
            <w:tcW w:type="dxa" w:w="1417"/>
          </w:tcPr>
          <w:p>
            <w:r/>
            <w:r>
              <w:rPr>
                <w:sz w:val="19"/>
              </w:rPr>
              <w:t>20</w:t>
            </w:r>
          </w:p>
        </w:tc>
        <w:tc>
          <w:tcPr>
            <w:tcW w:type="dxa" w:w="1701"/>
          </w:tcPr>
          <w:p>
            <w:r/>
            <w:r>
              <w:rPr>
                <w:sz w:val="19"/>
              </w:rPr>
              <w:t>68</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3%</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5</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53</w:t>
            </w:r>
          </w:p>
        </w:tc>
        <w:tc>
          <w:tcPr>
            <w:tcW w:type="dxa" w:w="1417"/>
          </w:tcPr>
          <w:p>
            <w:r/>
            <w:r>
              <w:rPr>
                <w:sz w:val="19"/>
              </w:rPr>
              <w:t>35%</w:t>
            </w:r>
          </w:p>
        </w:tc>
        <w:tc>
          <w:tcPr>
            <w:tcW w:type="dxa" w:w="1701"/>
          </w:tcPr>
          <w:p>
            <w:r/>
            <w:r>
              <w:rPr>
                <w:sz w:val="19"/>
              </w:rPr>
              <w:t>53</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1%</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50</w:t>
            </w:r>
          </w:p>
        </w:tc>
        <w:tc>
          <w:tcPr>
            <w:tcW w:type="dxa" w:w="1417"/>
          </w:tcPr>
          <w:p>
            <w:r/>
            <w:r>
              <w:rPr>
                <w:sz w:val="19"/>
              </w:rPr>
              <w:t>33%</w:t>
            </w:r>
          </w:p>
        </w:tc>
        <w:tc>
          <w:tcPr>
            <w:tcW w:type="dxa" w:w="1701"/>
          </w:tcPr>
          <w:p>
            <w:r/>
            <w:r>
              <w:rPr>
                <w:sz w:val="19"/>
              </w:rPr>
              <w:t>21</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20</w:t>
            </w:r>
          </w:p>
        </w:tc>
        <w:tc>
          <w:tcPr>
            <w:tcW w:type="dxa" w:w="1417"/>
            <w:shd w:val="clear" w:color="auto" w:fill="F3F5F7"/>
          </w:tcPr>
          <w:p>
            <w:r/>
            <w:r>
              <w:rPr>
                <w:sz w:val="19"/>
              </w:rPr>
              <w:t>13%</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141 of 150 stories are located in a country of one of ISSMGE's six regions; 9 are global or about several countries and 0 have no location yet. 20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68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20</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24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27</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17 developing stories link 44 reports; 17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3</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Voronezh Moskovsky Avenue collector repair, Russia</w:t>
            </w:r>
          </w:p>
        </w:tc>
        <w:tc>
          <w:tcPr>
            <w:tcW w:type="dxa" w:w="1928"/>
          </w:tcPr>
          <w:p>
            <w:r/>
            <w:r>
              <w:rPr>
                <w:sz w:val="19"/>
              </w:rPr>
              <w:t>Moskovsky Avenue, Voronezh, Russia</w:t>
            </w:r>
          </w:p>
        </w:tc>
        <w:tc>
          <w:tcPr>
            <w:tcW w:type="dxa" w:w="907"/>
          </w:tcPr>
          <w:p>
            <w:r/>
            <w:r>
              <w:rPr>
                <w:sz w:val="19"/>
              </w:rPr>
              <w:t>2</w:t>
            </w:r>
          </w:p>
        </w:tc>
        <w:tc>
          <w:tcPr>
            <w:tcW w:type="dxa" w:w="1191"/>
          </w:tcPr>
          <w:p>
            <w:r/>
            <w:r>
              <w:rPr>
                <w:sz w:val="19"/>
              </w:rPr>
              <w:t>24 Oct 2026</w:t>
            </w:r>
          </w:p>
        </w:tc>
        <w:tc>
          <w:tcPr>
            <w:tcW w:type="dxa" w:w="1191"/>
          </w:tcPr>
          <w:p>
            <w:r/>
            <w:r>
              <w:rPr>
                <w:sz w:val="19"/>
              </w:rPr>
              <w:t>25 Oct 2026</w:t>
            </w:r>
          </w:p>
        </w:tc>
        <w:tc>
          <w:tcPr>
            <w:tcW w:type="dxa" w:w="1361"/>
          </w:tcPr>
          <w:p>
            <w:r/>
            <w:r>
              <w:rPr>
                <w:sz w:val="19"/>
              </w:rPr>
              <w:t>Repair &amp; reconstruction</w:t>
            </w:r>
          </w:p>
        </w:tc>
      </w:tr>
      <w:tr>
        <w:tc>
          <w:tcPr>
            <w:tcW w:type="dxa" w:w="3061"/>
            <w:shd w:val="clear" w:color="auto" w:fill="F3F5F7"/>
          </w:tcPr>
          <w:p>
            <w:r/>
            <w:r>
              <w:rPr>
                <w:sz w:val="19"/>
              </w:rPr>
              <w:t>Terrazas del Valle bridge sinkhole, Tijuana, Mexico</w:t>
            </w:r>
          </w:p>
        </w:tc>
        <w:tc>
          <w:tcPr>
            <w:tcW w:type="dxa" w:w="1928"/>
            <w:shd w:val="clear" w:color="auto" w:fill="F3F5F7"/>
          </w:tcPr>
          <w:p>
            <w:r/>
            <w:r>
              <w:rPr>
                <w:sz w:val="19"/>
              </w:rPr>
              <w:t>Terrazas del Valle bridge, Mexico</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bl>
    <w:p/>
    <w:p>
      <w:pPr>
        <w:pStyle w:val="Heading1"/>
      </w:pPr>
      <w:r>
        <w:rPr>
          <w:color w:val="16324F"/>
        </w:rPr>
        <w:t>8. Research papers (Q4 2026)</w:t>
      </w:r>
    </w:p>
    <w:p>
      <w:r>
        <w:t>31 new papers from 14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5</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A modified triaxial test for characterising soil–structure interface behaviour</w:t>
        </w:r>
      </w:hyperlink>
      <w:r>
        <w:t xml:space="preserve"> — Acta Geotechnica, 2026-10-25. A modified triaxial set-up that yields interface friction comparable to direct shear lets labs measure soil-structure interface strength with equipment they already own.</w:t>
      </w:r>
    </w:p>
    <w:p>
      <w:pPr>
        <w:pStyle w:val="ListBullet"/>
      </w:pPr>
      <w:hyperlink r:id="rId11">
        <w:r>
          <w:rPr>
            <w:b/>
            <w:color w:val="1D5A8A"/>
            <w:u w:val="single"/>
          </w:rPr>
          <w:t>Fine particle migration of gravel-sand mixtures under coupled hydraulic gradient and cyclic loading</w:t>
        </w:r>
      </w:hyperlink>
      <w:r>
        <w:t xml:space="preserve"> — Acta Geotechnica, 2026-10-25. Showing how fines wash out of gravel-sand mixtures under combined seepage and cyclic loading flags internal erosion risks for dams, levees and filters that engineers must assess.</w:t>
      </w:r>
    </w:p>
    <w:p>
      <w:pPr>
        <w:pStyle w:val="ListBullet"/>
      </w:pPr>
      <w:hyperlink r:id="rId12">
        <w:r>
          <w:rPr>
            <w:b/>
            <w:color w:val="1D5A8A"/>
            <w:u w:val="single"/>
          </w:rPr>
          <w:t>Seismic performance assessment of high-speed railway track-bridge system with CFRP-repaired piers under near-fault pulse-like ground motions</w:t>
        </w:r>
      </w:hyperlink>
      <w:r>
        <w:t xml:space="preserve"> — Soil Dynamics and Earthquake Engineering, 2026-10-26. Seismic response results for CFRP-repaired bridge piers under pulse-like motions help engineers judge whether repair strategies protect high-speed rail track-bridge systems.</w:t>
      </w:r>
    </w:p>
    <w:p>
      <w:pPr>
        <w:pStyle w:val="ListBullet"/>
      </w:pPr>
      <w:hyperlink r:id="rId13">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4">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5">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6">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7">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46</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07/s11440-026-03248-3" TargetMode="External"/><Relationship Id="rId11" Type="http://schemas.openxmlformats.org/officeDocument/2006/relationships/hyperlink" Target="https://doi.org/10.1007/s11440-026-03237-6" TargetMode="External"/><Relationship Id="rId12" Type="http://schemas.openxmlformats.org/officeDocument/2006/relationships/hyperlink" Target="https://doi.org/10.1016/j.soildyn.2026.110792" TargetMode="External"/><Relationship Id="rId13" Type="http://schemas.openxmlformats.org/officeDocument/2006/relationships/hyperlink" Target="https://doi.org/10.1061/jggefk.gteng-15394" TargetMode="External"/><Relationship Id="rId14" Type="http://schemas.openxmlformats.org/officeDocument/2006/relationships/hyperlink" Target="https://doi.org/10.1061/jggefk.gteng-15418" TargetMode="External"/><Relationship Id="rId15" Type="http://schemas.openxmlformats.org/officeDocument/2006/relationships/hyperlink" Target="https://doi.org/10.1016/j.trgeo.2026.102499" TargetMode="External"/><Relationship Id="rId16" Type="http://schemas.openxmlformats.org/officeDocument/2006/relationships/hyperlink" Target="https://doi.org/10.1007/s10346-026-02861-3" TargetMode="External"/><Relationship Id="rId17" Type="http://schemas.openxmlformats.org/officeDocument/2006/relationships/hyperlink" Target="https://doi.org/10.1016/j.sandf.2026.10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