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25 October 2026, 09:57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2026-10-25 (07:14 UTC)</w:t>
            </w:r>
          </w:p>
        </w:tc>
      </w:tr>
      <w:tr>
        <w:tc>
          <w:tcPr>
            <w:tcW w:type="dxa" w:w="4535"/>
            <w:shd w:val="clear" w:color="auto" w:fill="F3F5F7"/>
          </w:tcPr>
          <w:p>
            <w:r/>
            <w:r>
              <w:rPr>
                <w:sz w:val="19"/>
              </w:rPr>
              <w:t>Stories in latest digest</w:t>
            </w:r>
          </w:p>
        </w:tc>
        <w:tc>
          <w:tcPr>
            <w:tcW w:type="dxa" w:w="5102"/>
            <w:shd w:val="clear" w:color="auto" w:fill="F3F5F7"/>
          </w:tcPr>
          <w:p>
            <w:r/>
            <w:r>
              <w:rPr>
                <w:sz w:val="19"/>
              </w:rPr>
              <w:t>47</w:t>
            </w:r>
          </w:p>
        </w:tc>
      </w:tr>
      <w:tr>
        <w:tc>
          <w:tcPr>
            <w:tcW w:type="dxa" w:w="4535"/>
          </w:tcPr>
          <w:p>
            <w:r/>
            <w:r>
              <w:rPr>
                <w:sz w:val="19"/>
              </w:rPr>
              <w:t>New items scanned</w:t>
            </w:r>
          </w:p>
        </w:tc>
        <w:tc>
          <w:tcPr>
            <w:tcW w:type="dxa" w:w="5102"/>
          </w:tcPr>
          <w:p>
            <w:r/>
            <w:r>
              <w:rPr>
                <w:sz w:val="19"/>
              </w:rPr>
              <w:t>439</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107</w:t>
            </w:r>
          </w:p>
        </w:tc>
      </w:tr>
      <w:tr>
        <w:tc>
          <w:tcPr>
            <w:tcW w:type="dxa" w:w="4535"/>
            <w:shd w:val="clear" w:color="auto" w:fill="F3F5F7"/>
          </w:tcPr>
          <w:p>
            <w:r/>
            <w:r>
              <w:rPr>
                <w:sz w:val="19"/>
              </w:rPr>
              <w:t>Daily digests archived</w:t>
            </w:r>
          </w:p>
        </w:tc>
        <w:tc>
          <w:tcPr>
            <w:tcW w:type="dxa" w:w="5102"/>
            <w:shd w:val="clear" w:color="auto" w:fill="F3F5F7"/>
          </w:tcPr>
          <w:p>
            <w:r/>
            <w:r>
              <w:rPr>
                <w:sz w:val="19"/>
              </w:rPr>
              <w:t>2</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Stories located in a country (world map)</w:t>
            </w:r>
          </w:p>
        </w:tc>
        <w:tc>
          <w:tcPr>
            <w:tcW w:type="dxa" w:w="5102"/>
            <w:shd w:val="clear" w:color="auto" w:fill="F3F5F7"/>
          </w:tcPr>
          <w:p>
            <w:r/>
            <w:r>
              <w:rPr>
                <w:sz w:val="19"/>
              </w:rPr>
              <w:t>98 of 107</w:t>
            </w:r>
          </w:p>
        </w:tc>
      </w:tr>
      <w:tr>
        <w:tc>
          <w:tcPr>
            <w:tcW w:type="dxa" w:w="4535"/>
          </w:tcPr>
          <w:p>
            <w:r/>
            <w:r>
              <w:rPr>
                <w:sz w:val="19"/>
              </w:rPr>
              <w:t>Developing stories (two or more reports)</w:t>
            </w:r>
          </w:p>
        </w:tc>
        <w:tc>
          <w:tcPr>
            <w:tcW w:type="dxa" w:w="5102"/>
          </w:tcPr>
          <w:p>
            <w:r/>
            <w:r>
              <w:rPr>
                <w:sz w:val="19"/>
              </w:rPr>
              <w:t>11</w:t>
            </w:r>
          </w:p>
        </w:tc>
      </w:tr>
      <w:tr>
        <w:tc>
          <w:tcPr>
            <w:tcW w:type="dxa" w:w="4535"/>
            <w:shd w:val="clear" w:color="auto" w:fill="F3F5F7"/>
          </w:tcPr>
          <w:p>
            <w:r/>
            <w:r>
              <w:rPr>
                <w:sz w:val="19"/>
              </w:rPr>
              <w:t>Weekly summaries e-mailed</w:t>
            </w:r>
          </w:p>
        </w:tc>
        <w:tc>
          <w:tcPr>
            <w:tcW w:type="dxa" w:w="5102"/>
            <w:shd w:val="clear" w:color="auto" w:fill="F3F5F7"/>
          </w:tcPr>
          <w:p>
            <w:r/>
            <w:r>
              <w:rPr>
                <w:sz w:val="19"/>
              </w:rPr>
              <w:t>0</w:t>
            </w:r>
          </w:p>
        </w:tc>
      </w:tr>
      <w:tr>
        <w:tc>
          <w:tcPr>
            <w:tcW w:type="dxa" w:w="4535"/>
          </w:tcPr>
          <w:p>
            <w:r/>
            <w:r>
              <w:rPr>
                <w:sz w:val="19"/>
              </w:rPr>
              <w:t>Websites failing on latest scan</w:t>
            </w:r>
          </w:p>
        </w:tc>
        <w:tc>
          <w:tcPr>
            <w:tcW w:type="dxa" w:w="5102"/>
          </w:tcPr>
          <w:p>
            <w:r/>
            <w:r>
              <w:rPr>
                <w:sz w:val="19"/>
              </w:rPr>
              <w:t>0 of 19</w:t>
            </w:r>
          </w:p>
        </w:tc>
      </w:tr>
    </w:tbl>
    <w:p/>
    <w:p>
      <w:pPr>
        <w:pStyle w:val="Heading1"/>
      </w:pPr>
      <w:r>
        <w:rPr>
          <w:color w:val="16324F"/>
        </w:rPr>
        <w:t>What the website does</w:t>
      </w:r>
    </w:p>
    <w:p>
      <w:pPr>
        <w:pStyle w:val="ListBullet"/>
      </w:pPr>
      <w:r>
        <w:rPr>
          <w:b/>
        </w:rPr>
        <w:t xml:space="preserve">Daily scan: </w:t>
      </w:r>
      <w:r>
        <w:t>every day at 05:00 Cairo time, and on demand with Scan now, the scanner reads specialist, society and trade-press websites, worldwide Google News searches in English and 16 other languages, and new papers from geotechnical journals.</w:t>
      </w:r>
    </w:p>
    <w:p>
      <w:pPr>
        <w:pStyle w:val="ListBullet"/>
      </w:pPr>
      <w:r>
        <w:rPr>
          <w:b/>
        </w:rPr>
        <w:t xml:space="preserve">Categorisation: </w:t>
      </w:r>
      <w:r>
        <w:t>every headline, in any covered language, is scored against weighted geotechnical keywords and filed under one of the magazine's eight themes; Claude then rates its geotechnical substance (1-5), confirms the theme, suggests an editorial use, writes a magazine angle and translates foreign headlines.</w:t>
      </w:r>
    </w:p>
    <w:p>
      <w:pPr>
        <w:pStyle w:val="ListBullet"/>
      </w:pPr>
      <w:r>
        <w:rPr>
          <w:b/>
        </w:rPr>
        <w:t xml:space="preserve">Balanced digests: </w:t>
      </w:r>
      <w:r>
        <w:t>no theme may take more than 30 % of a digest and no website more than five stories, several outlets reporting the same event are merged into one story, and copies of one story in several languages count once.</w:t>
      </w:r>
    </w:p>
    <w:p>
      <w:pPr>
        <w:pStyle w:val="ListBullet"/>
      </w:pPr>
      <w:r>
        <w:rPr>
          <w:b/>
        </w:rPr>
        <w:t xml:space="preserve">Archive: </w:t>
      </w:r>
      <w:r>
        <w:t>every digest is kept permanently and grouped into three-month issue windows that follow the magazine's cycle, each with an issue page.</w:t>
      </w:r>
    </w:p>
    <w:p>
      <w:pPr>
        <w:pStyle w:val="ListBullet"/>
      </w:pPr>
      <w:r>
        <w:rPr>
          <w:b/>
        </w:rPr>
        <w:t xml:space="preserve">Issue brief: </w:t>
      </w:r>
      <w:r>
        <w:t>for each issue window Claude drafts a Word brief for the editorial meeting - a proposed line-up per theme, feature leads, Academia-to-Industry topics, a regional-balance check and gaps worth covering. Drafts appear in the last weeks of each quarter, a final brief after it closes, and on demand from the issue page.</w:t>
      </w:r>
    </w:p>
    <w:p>
      <w:pPr>
        <w:pStyle w:val="ListBullet"/>
      </w:pPr>
      <w:r>
        <w:rPr>
          <w:b/>
        </w:rPr>
        <w:t xml:space="preserve">Research papers: </w:t>
      </w:r>
      <w:r>
        <w:t>new papers from journals such as Géotechnique, Canadian Geotechnical Journal, ASCE JGGE, Soils and Foundations and Acta Geotechnica arrive through Crossref, with a one-line note on why each matters for practice.</w:t>
      </w:r>
    </w:p>
    <w:p>
      <w:pPr>
        <w:pStyle w:val="ListBullet"/>
      </w:pPr>
      <w:r>
        <w:rPr>
          <w:b/>
        </w:rPr>
        <w:t xml:space="preserve">Trends: </w:t>
      </w:r>
      <w:r>
        <w:t>a page charting stories per month and per quarter by theme, theme shares over time, rising keywords, regions, editorial uses and sources.</w:t>
      </w:r>
    </w:p>
    <w:p>
      <w:pPr>
        <w:pStyle w:val="ListBullet"/>
      </w:pPr>
      <w:r>
        <w:rPr>
          <w:b/>
        </w:rPr>
        <w:t xml:space="preserve">World map: </w:t>
      </w:r>
      <w:r>
        <w:t>Claude reads where each story happened (country and town, region or site); the World map plots stories by country for any issue window and marks the ISSMGE member-society countries with no stories, region by region, so coverage gaps are visible.</w:t>
      </w:r>
    </w:p>
    <w:p>
      <w:pPr>
        <w:pStyle w:val="ListBullet"/>
      </w:pPr>
      <w:r>
        <w:rPr>
          <w:b/>
        </w:rPr>
        <w:t xml:space="preserve">Developing stories: </w:t>
      </w:r>
      <w:r>
        <w:t>each scan links follow-up reports (the response, the inquiry, the repair, the court case) to the earlier story about the same event, project or site, with the stage reached; each developing story has a timeline, and story cards carry a Developing story chip.</w:t>
      </w:r>
    </w:p>
    <w:p>
      <w:pPr>
        <w:pStyle w:val="ListBullet"/>
      </w:pPr>
      <w:r>
        <w:rPr>
          <w:b/>
        </w:rPr>
        <w:t xml:space="preserve">Events calendar: </w:t>
      </w:r>
      <w:r>
        <w:t>conferences, symposia and courses with their deadlines (calls for papers, registration), from the editors' list (data/events.yaml) and a weekly refresh in which Claude reads the organisers' calendars; a calendar feed to subscribe to, and the next deadlines beside the news.</w:t>
      </w:r>
    </w:p>
    <w:p>
      <w:pPr>
        <w:pStyle w:val="ListBullet"/>
      </w:pPr>
      <w:r>
        <w:rPr>
          <w:b/>
        </w:rPr>
        <w:t xml:space="preserve">Alerts and weekly summary: </w:t>
      </w:r>
      <w:r>
        <w:t>an e-mail after any scan that finds a new 5/5 story, and every Monday a summary of the week for the editorial team (top stories, developing stories, regional coverage, events and research), also kept as web pages.</w:t>
      </w:r>
    </w:p>
    <w:p>
      <w:pPr>
        <w:pStyle w:val="ListBullet"/>
      </w:pPr>
      <w:r>
        <w:rPr>
          <w:b/>
        </w:rPr>
        <w:t xml:space="preserve">Search and AI assistant: </w:t>
      </w:r>
      <w:r>
        <w:t>search every archived story with filters, or ask the AI assistant, which knows the developing stories and the events calendar and can also read attached PDF and Word documents.</w:t>
      </w:r>
    </w:p>
    <w:p>
      <w:pPr>
        <w:pStyle w:val="ListBullet"/>
      </w:pPr>
      <w:r>
        <w:rPr>
          <w:b/>
        </w:rPr>
        <w:t xml:space="preserve">Excel workbooks: </w:t>
      </w:r>
      <w:r>
        <w:t>one per issue window and one for the whole archive, with an interactive dashboard, planning columns and a reading view by theme.</w:t>
      </w:r>
    </w:p>
    <w:p>
      <w:pPr>
        <w:pStyle w:val="ListBullet"/>
      </w:pPr>
      <w:r>
        <w:rPr>
          <w:b/>
        </w:rPr>
        <w:t xml:space="preserve">Website report: </w:t>
      </w:r>
      <w:r>
        <w:t>this document, rebuilt after every scan.</w:t>
      </w:r>
    </w:p>
    <w:p>
      <w:pPr>
        <w:pStyle w:val="ListBullet"/>
      </w:pPr>
      <w:r>
        <w:rPr>
          <w:b/>
        </w:rPr>
        <w:t xml:space="preserve">Copyright-safe outputs: </w:t>
      </w:r>
      <w:r>
        <w:t>nothing the news desk publishes or now saves carries a publisher's text beyond the headline (no feed summaries, abstracts or images); each story names the primary source to check the facts with; the AI assistant and the issue brief write in their own words and quote a sentence or two at most, and the assistant ends its drafts with a Check before publishing list; and every page, workbook, e-mail and report carries the five steps of Before you use a story.</w:t>
      </w:r>
    </w:p>
    <w:p>
      <w:pPr>
        <w:pStyle w:val="Heading1"/>
      </w:pPr>
      <w:r>
        <w:rPr>
          <w:color w:val="16324F"/>
        </w:rPr>
        <w:t>Using the stories in the magazine (copyright)</w:t>
      </w:r>
    </w:p>
    <w:p>
      <w:r>
        <w:t>Every story on the website is a lead, not material to reuse. Before you use a story:</w:t>
      </w:r>
    </w:p>
    <w:p>
      <w:pPr>
        <w:spacing w:after="40"/>
        <w:ind w:left="454" w:hanging="340"/>
      </w:pPr>
      <w:r>
        <w:rPr>
          <w:b/>
          <w:color w:val="9A7B1C"/>
        </w:rPr>
        <w:t xml:space="preserve">1.  </w:t>
      </w:r>
      <w:r>
        <w:t>Treat the news item as a lead, not as your source.</w:t>
      </w:r>
    </w:p>
    <w:p>
      <w:pPr>
        <w:spacing w:after="40"/>
        <w:ind w:left="454" w:hanging="340"/>
      </w:pPr>
      <w:r>
        <w:rPr>
          <w:b/>
          <w:color w:val="9A7B1C"/>
        </w:rPr>
        <w:t xml:space="preserve">2.  </w:t>
      </w:r>
      <w:r>
        <w:t>Check the facts with the primary source: the authority, the project owner, the company's press release or the official report (“Check with”, where the news desk found it).</w:t>
      </w:r>
    </w:p>
    <w:p>
      <w:pPr>
        <w:spacing w:after="40"/>
        <w:ind w:left="454" w:hanging="340"/>
      </w:pPr>
      <w:r>
        <w:rPr>
          <w:b/>
          <w:color w:val="9A7B1C"/>
        </w:rPr>
        <w:t xml:space="preserve">3.  </w:t>
      </w:r>
      <w:r>
        <w:t>Write the piece in your own words, with your own angle: the magazine angle is a starting point.</w:t>
      </w:r>
    </w:p>
    <w:p>
      <w:pPr>
        <w:spacing w:after="40"/>
        <w:ind w:left="454" w:hanging="340"/>
      </w:pPr>
      <w:r>
        <w:rPr>
          <w:b/>
          <w:color w:val="9A7B1C"/>
        </w:rPr>
        <w:t xml:space="preserve">4.  </w:t>
      </w:r>
      <w:r>
        <w:t>Quote a sentence or two at most, in quotation marks, naming the publication and linking to it.</w:t>
      </w:r>
    </w:p>
    <w:p>
      <w:pPr>
        <w:spacing w:after="40"/>
        <w:ind w:left="454" w:hanging="340"/>
      </w:pPr>
      <w:r>
        <w:rPr>
          <w:b/>
          <w:color w:val="9A7B1C"/>
        </w:rPr>
        <w:t xml:space="preserve">5.  </w:t>
      </w:r>
      <w:r>
        <w:t>For images, use your own, the project's press-kit photos released for media use, or ask permission; never reuse a source's photos, figures or drawings.</w:t>
      </w:r>
    </w:p>
    <w:p>
      <w:pPr>
        <w:spacing w:before="120"/>
      </w:pPr>
      <w:r>
        <w:rPr>
          <w:b/>
        </w:rPr>
        <w:t>What the news desk does to keep to it:</w:t>
      </w:r>
    </w:p>
    <w:p>
      <w:pPr>
        <w:pStyle w:val="ListBullet"/>
      </w:pPr>
      <w:r>
        <w:t>The website, the downloads, the e-mails and the current archive files in the repository show no publisher's text beyond the headline: no feed summaries, no paper abstracts and no images from the sources. Each headline names its source and links to the original article. (Earlier versions of the archive in the repository's history, saved before 25 October 2026, still hold the feed summaries and abstracts removed that day.)</w:t>
      </w:r>
    </w:p>
    <w:p>
      <w:pPr>
        <w:pStyle w:val="ListBullet"/>
      </w:pPr>
      <w:r>
        <w:t>Headlines from non-English sources are shown in Claude's English translation, labelled as such, with the original headline beside it.</w:t>
      </w:r>
    </w:p>
    <w:p>
      <w:pPr>
        <w:pStyle w:val="ListBullet"/>
      </w:pPr>
      <w:r>
        <w:t>The magazine angle and the note on why a paper matters are written by Claude in its own words, never copied from the article.</w:t>
      </w:r>
    </w:p>
    <w:p>
      <w:pPr>
        <w:pStyle w:val="ListBullet"/>
      </w:pPr>
      <w:r>
        <w:t>For each story Claude rates, it names the primary source to check the facts with (“Check with”).</w:t>
      </w:r>
    </w:p>
    <w:p>
      <w:pPr>
        <w:pStyle w:val="ListBullet"/>
      </w:pPr>
      <w:r>
        <w:t>The AI assistant and the issue brief write in their own words, quote at most a sentence or two with the publication named and linked, and name the primary source to check; for images they recommend your own photos, press-kit photos or asking permission. The assistant ends every draft of a magazine piece with a “Check before publishing” list.</w:t>
      </w:r>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1E7B4F"/>
        </w:rPr>
        <w:t xml:space="preserve">✔ </w:t>
      </w:r>
      <w:r>
        <w:t>19 of 19 websites were read successfully; 0 failed (see Source health).</w:t>
      </w:r>
    </w:p>
    <w:p>
      <w:pPr>
        <w:spacing w:after="60"/>
      </w:pPr>
      <w:r>
        <w:rPr>
          <w:b/>
          <w:color w:val="1E7B4F"/>
        </w:rPr>
        <w:t xml:space="preserve">✔ </w:t>
      </w:r>
      <w:r>
        <w:t>Theme balance: 6 themes covered; the largest is Hazards &amp; Resilience with 18 of 47 stories (38%).</w:t>
      </w:r>
    </w:p>
    <w:p>
      <w:pPr>
        <w:spacing w:after="60"/>
      </w:pPr>
      <w:r>
        <w:rPr>
          <w:b/>
          <w:color w:val="5B6573"/>
        </w:rPr>
        <w:t xml:space="preserve">• </w:t>
      </w:r>
      <w:r>
        <w:t>35 different outlets contributed; the most frequent was Vietnam.vn (12 stories).</w:t>
      </w:r>
    </w:p>
    <w:p>
      <w:pPr>
        <w:spacing w:after="60"/>
      </w:pPr>
      <w:r>
        <w:rPr>
          <w:b/>
          <w:color w:val="5B6573"/>
        </w:rPr>
        <w:t xml:space="preserve">• </w:t>
      </w:r>
      <w:r>
        <w:t>38 stories came from non-English Google News editions.</w:t>
      </w:r>
    </w:p>
    <w:p>
      <w:pPr>
        <w:spacing w:after="60"/>
      </w:pPr>
      <w:r>
        <w:rPr>
          <w:b/>
          <w:color w:val="5B6573"/>
        </w:rPr>
        <w:t xml:space="preserve">• </w:t>
      </w:r>
      <w:r>
        <w:t>31 stories were rated 4 or 5 out of 5.</w:t>
      </w:r>
    </w:p>
    <w:p>
      <w:pPr>
        <w:spacing w:after="60"/>
      </w:pPr>
      <w:r>
        <w:rPr>
          <w:b/>
          <w:color w:val="5B6573"/>
        </w:rPr>
        <w:t xml:space="preserve">• </w:t>
      </w:r>
      <w:r>
        <w:t>0 of the 47 rated stories name a primary source to check the facts with (stories rated before primary sources were asked for have none).</w:t>
      </w:r>
    </w:p>
    <w:p>
      <w:pPr>
        <w:pStyle w:val="Heading1"/>
      </w:pPr>
      <w:r>
        <w:rPr>
          <w:color w:val="16324F"/>
        </w:rPr>
        <w:t>3. Source health</w:t>
      </w:r>
    </w:p>
    <w:p>
      <w:r>
        <w:t>All websites were read successfully on the latest scan.</w:t>
      </w:r>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2</w:t>
            </w:r>
          </w:p>
        </w:tc>
        <w:tc>
          <w:tcPr>
            <w:tcW w:type="dxa" w:w="1134"/>
          </w:tcPr>
          <w:p>
            <w:r/>
            <w:r>
              <w:rPr>
                <w:sz w:val="19"/>
              </w:rPr>
              <w:t>107</w:t>
            </w:r>
          </w:p>
        </w:tc>
        <w:tc>
          <w:tcPr>
            <w:tcW w:type="dxa" w:w="1417"/>
          </w:tcPr>
          <w:p>
            <w:r/>
            <w:r>
              <w:rPr>
                <w:sz w:val="19"/>
              </w:rPr>
              <w:t>11</w:t>
            </w:r>
          </w:p>
        </w:tc>
        <w:tc>
          <w:tcPr>
            <w:tcW w:type="dxa" w:w="1701"/>
          </w:tcPr>
          <w:p>
            <w:r/>
            <w:r>
              <w:rPr>
                <w:sz w:val="19"/>
              </w:rPr>
              <w:t>45</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DDF0E8"/>
          </w:tcPr>
          <w:p>
            <w:r/>
            <w:r>
              <w:rPr>
                <w:b/>
                <w:color w:val="1F9D63"/>
                <w:sz w:val="19"/>
              </w:rPr>
              <w:t>Sustainability &amp; the Energy Transition</w:t>
            </w:r>
          </w:p>
        </w:tc>
        <w:tc>
          <w:tcPr>
            <w:tcW w:type="dxa" w:w="1417"/>
          </w:tcPr>
          <w:p>
            <w:r/>
            <w:r>
              <w:rPr>
                <w:sz w:val="19"/>
              </w:rPr>
              <w:t>3</w:t>
            </w:r>
          </w:p>
        </w:tc>
        <w:tc>
          <w:tcPr>
            <w:tcW w:type="dxa" w:w="1417"/>
          </w:tcPr>
          <w:p>
            <w:r/>
            <w:r>
              <w:rPr>
                <w:sz w:val="19"/>
              </w:rPr>
              <w:t>3%</w:t>
            </w:r>
          </w:p>
        </w:tc>
        <w:tc>
          <w:tcPr>
            <w:tcW w:type="dxa" w:w="1701"/>
          </w:tcPr>
          <w:p>
            <w:r/>
            <w:r>
              <w:rPr>
                <w:sz w:val="19"/>
              </w:rPr>
              <w:t>0</w:t>
            </w:r>
          </w:p>
        </w:tc>
      </w:tr>
      <w:tr>
        <w:tc>
          <w:tcPr>
            <w:tcW w:type="dxa" w:w="4535"/>
            <w:shd w:val="clear" w:color="auto" w:fill="E9E5F9"/>
          </w:tcPr>
          <w:p>
            <w:r/>
            <w:r>
              <w:rPr>
                <w:b/>
                <w:color w:val="6B4FD6"/>
                <w:sz w:val="19"/>
              </w:rPr>
              <w:t>Digital Geotechnics</w:t>
            </w:r>
          </w:p>
        </w:tc>
        <w:tc>
          <w:tcPr>
            <w:tcW w:type="dxa" w:w="1417"/>
            <w:shd w:val="clear" w:color="auto" w:fill="F3F5F7"/>
          </w:tcPr>
          <w:p>
            <w:r/>
            <w:r>
              <w:rPr>
                <w:sz w:val="19"/>
              </w:rPr>
              <w:t>2</w:t>
            </w:r>
          </w:p>
        </w:tc>
        <w:tc>
          <w:tcPr>
            <w:tcW w:type="dxa" w:w="1417"/>
            <w:shd w:val="clear" w:color="auto" w:fill="F3F5F7"/>
          </w:tcPr>
          <w:p>
            <w:r/>
            <w:r>
              <w:rPr>
                <w:sz w:val="19"/>
              </w:rPr>
              <w:t>2%</w:t>
            </w:r>
          </w:p>
        </w:tc>
        <w:tc>
          <w:tcPr>
            <w:tcW w:type="dxa" w:w="1701"/>
            <w:shd w:val="clear" w:color="auto" w:fill="F3F5F7"/>
          </w:tcPr>
          <w:p>
            <w:r/>
            <w:r>
              <w:rPr>
                <w:sz w:val="19"/>
              </w:rPr>
              <w:t>2</w:t>
            </w:r>
          </w:p>
        </w:tc>
      </w:tr>
      <w:tr>
        <w:tc>
          <w:tcPr>
            <w:tcW w:type="dxa" w:w="4535"/>
            <w:shd w:val="clear" w:color="auto" w:fill="FAE5DF"/>
          </w:tcPr>
          <w:p>
            <w:r/>
            <w:r>
              <w:rPr>
                <w:b/>
                <w:color w:val="E04F2C"/>
                <w:sz w:val="19"/>
              </w:rPr>
              <w:t>Hazards &amp; Resilience</w:t>
            </w:r>
          </w:p>
        </w:tc>
        <w:tc>
          <w:tcPr>
            <w:tcW w:type="dxa" w:w="1417"/>
          </w:tcPr>
          <w:p>
            <w:r/>
            <w:r>
              <w:rPr>
                <w:sz w:val="19"/>
              </w:rPr>
              <w:t>35</w:t>
            </w:r>
          </w:p>
        </w:tc>
        <w:tc>
          <w:tcPr>
            <w:tcW w:type="dxa" w:w="1417"/>
          </w:tcPr>
          <w:p>
            <w:r/>
            <w:r>
              <w:rPr>
                <w:sz w:val="19"/>
              </w:rPr>
              <w:t>33%</w:t>
            </w:r>
          </w:p>
        </w:tc>
        <w:tc>
          <w:tcPr>
            <w:tcW w:type="dxa" w:w="1701"/>
          </w:tcPr>
          <w:p>
            <w:r/>
            <w:r>
              <w:rPr>
                <w:sz w:val="19"/>
              </w:rPr>
              <w:t>35</w:t>
            </w:r>
          </w:p>
        </w:tc>
      </w:tr>
      <w:tr>
        <w:tc>
          <w:tcPr>
            <w:tcW w:type="dxa" w:w="4535"/>
            <w:shd w:val="clear" w:color="auto" w:fill="F8EED9"/>
          </w:tcPr>
          <w:p>
            <w:r/>
            <w:r>
              <w:rPr>
                <w:b/>
                <w:color w:val="D38B00"/>
                <w:sz w:val="19"/>
              </w:rPr>
              <w:t>Ground Improvement &amp; Innovation</w:t>
            </w:r>
          </w:p>
        </w:tc>
        <w:tc>
          <w:tcPr>
            <w:tcW w:type="dxa" w:w="1417"/>
            <w:shd w:val="clear" w:color="auto" w:fill="F3F5F7"/>
          </w:tcPr>
          <w:p>
            <w:r/>
            <w:r>
              <w:rPr>
                <w:sz w:val="19"/>
              </w:rPr>
              <w:t>2</w:t>
            </w:r>
          </w:p>
        </w:tc>
        <w:tc>
          <w:tcPr>
            <w:tcW w:type="dxa" w:w="1417"/>
            <w:shd w:val="clear" w:color="auto" w:fill="F3F5F7"/>
          </w:tcPr>
          <w:p>
            <w:r/>
            <w:r>
              <w:rPr>
                <w:sz w:val="19"/>
              </w:rPr>
              <w:t>2%</w:t>
            </w:r>
          </w:p>
        </w:tc>
        <w:tc>
          <w:tcPr>
            <w:tcW w:type="dxa" w:w="1701"/>
            <w:shd w:val="clear" w:color="auto" w:fill="F3F5F7"/>
          </w:tcPr>
          <w:p>
            <w:r/>
            <w:r>
              <w:rPr>
                <w:sz w:val="19"/>
              </w:rPr>
              <w:t>2</w:t>
            </w:r>
          </w:p>
        </w:tc>
      </w:tr>
      <w:tr>
        <w:tc>
          <w:tcPr>
            <w:tcW w:type="dxa" w:w="4535"/>
            <w:shd w:val="clear" w:color="auto" w:fill="DEE8F9"/>
          </w:tcPr>
          <w:p>
            <w:r/>
            <w:r>
              <w:rPr>
                <w:b/>
                <w:color w:val="2563D6"/>
                <w:sz w:val="19"/>
              </w:rPr>
              <w:t>Infrastructure &amp; the Underground City</w:t>
            </w:r>
          </w:p>
        </w:tc>
        <w:tc>
          <w:tcPr>
            <w:tcW w:type="dxa" w:w="1417"/>
          </w:tcPr>
          <w:p>
            <w:r/>
            <w:r>
              <w:rPr>
                <w:sz w:val="19"/>
              </w:rPr>
              <w:t>32</w:t>
            </w:r>
          </w:p>
        </w:tc>
        <w:tc>
          <w:tcPr>
            <w:tcW w:type="dxa" w:w="1417"/>
          </w:tcPr>
          <w:p>
            <w:r/>
            <w:r>
              <w:rPr>
                <w:sz w:val="19"/>
              </w:rPr>
              <w:t>30%</w:t>
            </w:r>
          </w:p>
        </w:tc>
        <w:tc>
          <w:tcPr>
            <w:tcW w:type="dxa" w:w="1701"/>
          </w:tcPr>
          <w:p>
            <w:r/>
            <w:r>
              <w:rPr>
                <w:sz w:val="19"/>
              </w:rPr>
              <w:t>15</w:t>
            </w:r>
          </w:p>
        </w:tc>
      </w:tr>
      <w:tr>
        <w:tc>
          <w:tcPr>
            <w:tcW w:type="dxa" w:w="4535"/>
            <w:shd w:val="clear" w:color="auto" w:fill="DAEFF2"/>
          </w:tcPr>
          <w:p>
            <w:r/>
            <w:r>
              <w:rPr>
                <w:b/>
                <w:color w:val="0B97A5"/>
                <w:sz w:val="19"/>
              </w:rPr>
              <w:t>Offshore, Coasts &amp; Water</w:t>
            </w:r>
          </w:p>
        </w:tc>
        <w:tc>
          <w:tcPr>
            <w:tcW w:type="dxa" w:w="1417"/>
            <w:shd w:val="clear" w:color="auto" w:fill="F3F5F7"/>
          </w:tcPr>
          <w:p>
            <w:r/>
            <w:r>
              <w:rPr>
                <w:sz w:val="19"/>
              </w:rPr>
              <w:t>18</w:t>
            </w:r>
          </w:p>
        </w:tc>
        <w:tc>
          <w:tcPr>
            <w:tcW w:type="dxa" w:w="1417"/>
            <w:shd w:val="clear" w:color="auto" w:fill="F3F5F7"/>
          </w:tcPr>
          <w:p>
            <w:r/>
            <w:r>
              <w:rPr>
                <w:sz w:val="19"/>
              </w:rPr>
              <w:t>17%</w:t>
            </w:r>
          </w:p>
        </w:tc>
        <w:tc>
          <w:tcPr>
            <w:tcW w:type="dxa" w:w="1701"/>
            <w:shd w:val="clear" w:color="auto" w:fill="F3F5F7"/>
          </w:tcPr>
          <w:p>
            <w:r/>
            <w:r>
              <w:rPr>
                <w:sz w:val="19"/>
              </w:rPr>
              <w:t>12</w:t>
            </w:r>
          </w:p>
        </w:tc>
      </w:tr>
      <w:tr>
        <w:tc>
          <w:tcPr>
            <w:tcW w:type="dxa" w:w="4535"/>
            <w:shd w:val="clear" w:color="auto" w:fill="F6E2EB"/>
          </w:tcPr>
          <w:p>
            <w:r/>
            <w:r>
              <w:rPr>
                <w:b/>
                <w:color w:val="C23D7B"/>
                <w:sz w:val="19"/>
              </w:rPr>
              <w:t>Characterisation &amp; Modelling</w:t>
            </w:r>
          </w:p>
        </w:tc>
        <w:tc>
          <w:tcPr>
            <w:tcW w:type="dxa" w:w="1417"/>
          </w:tcPr>
          <w:p>
            <w:r/>
            <w:r>
              <w:rPr>
                <w:sz w:val="19"/>
              </w:rPr>
              <w:t>9</w:t>
            </w:r>
          </w:p>
        </w:tc>
        <w:tc>
          <w:tcPr>
            <w:tcW w:type="dxa" w:w="1417"/>
          </w:tcPr>
          <w:p>
            <w:r/>
            <w:r>
              <w:rPr>
                <w:sz w:val="19"/>
              </w:rPr>
              <w:t>8%</w:t>
            </w:r>
          </w:p>
        </w:tc>
        <w:tc>
          <w:tcPr>
            <w:tcW w:type="dxa" w:w="1701"/>
          </w:tcPr>
          <w:p>
            <w:r/>
            <w:r>
              <w:rPr>
                <w:sz w:val="19"/>
              </w:rPr>
              <w:t>7</w:t>
            </w:r>
          </w:p>
        </w:tc>
      </w:tr>
      <w:tr>
        <w:tc>
          <w:tcPr>
            <w:tcW w:type="dxa" w:w="4535"/>
            <w:shd w:val="clear" w:color="auto" w:fill="EDE6DF"/>
          </w:tcPr>
          <w:p>
            <w:r/>
            <w:r>
              <w:rPr>
                <w:b/>
                <w:color w:val="8A5A2B"/>
                <w:sz w:val="19"/>
              </w:rPr>
              <w:t>Geotechnics &amp; Society</w:t>
            </w:r>
          </w:p>
        </w:tc>
        <w:tc>
          <w:tcPr>
            <w:tcW w:type="dxa" w:w="1417"/>
            <w:shd w:val="clear" w:color="auto" w:fill="F3F5F7"/>
          </w:tcPr>
          <w:p>
            <w:r/>
            <w:r>
              <w:rPr>
                <w:sz w:val="19"/>
              </w:rPr>
              <w:t>6</w:t>
            </w:r>
          </w:p>
        </w:tc>
        <w:tc>
          <w:tcPr>
            <w:tcW w:type="dxa" w:w="1417"/>
            <w:shd w:val="clear" w:color="auto" w:fill="F3F5F7"/>
          </w:tcPr>
          <w:p>
            <w:r/>
            <w:r>
              <w:rPr>
                <w:sz w:val="19"/>
              </w:rPr>
              <w:t>6%</w:t>
            </w:r>
          </w:p>
        </w:tc>
        <w:tc>
          <w:tcPr>
            <w:tcW w:type="dxa" w:w="1701"/>
            <w:shd w:val="clear" w:color="auto" w:fill="F3F5F7"/>
          </w:tcPr>
          <w:p>
            <w:r/>
            <w:r>
              <w:rPr>
                <w:sz w:val="19"/>
              </w:rPr>
              <w:t>1</w:t>
            </w:r>
          </w:p>
        </w:tc>
      </w:tr>
    </w:tbl>
    <w:p/>
    <w:p>
      <w:pPr>
        <w:pStyle w:val="Heading1"/>
      </w:pPr>
      <w:r>
        <w:rPr>
          <w:color w:val="16324F"/>
        </w:rPr>
        <w:t>6. Regional coverage (world map): Q4 2026</w:t>
      </w:r>
    </w:p>
    <w:p>
      <w:r>
        <w:t>Q4 2026 (Oct – Dec 2026): 98 of 107 stories are located in a country of one of ISSMGE's six regions; 9 are global or about several countries and 0 have no location yet. 18 of 87 member-society countries have at least one story.</w:t>
      </w:r>
    </w:p>
    <w:tbl>
      <w:tblPr>
        <w:tblStyle w:val="TableGrid"/>
        <w:tblW w:type="auto" w:w="0"/>
        <w:jc w:val="center"/>
        <w:tblLayout w:type="fixed"/>
        <w:tblLook w:firstColumn="1" w:firstRow="1" w:lastColumn="0" w:lastRow="0" w:noHBand="0" w:noVBand="1" w:val="04A0"/>
      </w:tblPr>
      <w:tblGrid>
        <w:gridCol w:w="1814"/>
        <w:gridCol w:w="1020"/>
        <w:gridCol w:w="1814"/>
        <w:gridCol w:w="4989"/>
      </w:tblGrid>
      <w:tr>
        <w:tc>
          <w:tcPr>
            <w:tcW w:type="dxa" w:w="1814"/>
            <w:shd w:val="clear" w:color="auto" w:fill="16324F"/>
          </w:tcPr>
          <w:p>
            <w:r/>
            <w:r>
              <w:rPr>
                <w:b/>
                <w:color w:val="FFFFFF"/>
                <w:sz w:val="19"/>
              </w:rPr>
              <w:t>ISSMGE region</w:t>
            </w:r>
          </w:p>
        </w:tc>
        <w:tc>
          <w:tcPr>
            <w:tcW w:type="dxa" w:w="1020"/>
            <w:shd w:val="clear" w:color="auto" w:fill="16324F"/>
          </w:tcPr>
          <w:p>
            <w:r/>
            <w:r>
              <w:rPr>
                <w:b/>
                <w:color w:val="FFFFFF"/>
                <w:sz w:val="19"/>
              </w:rPr>
              <w:t>Stories</w:t>
            </w:r>
          </w:p>
        </w:tc>
        <w:tc>
          <w:tcPr>
            <w:tcW w:type="dxa" w:w="1814"/>
            <w:shd w:val="clear" w:color="auto" w:fill="16324F"/>
          </w:tcPr>
          <w:p>
            <w:r/>
            <w:r>
              <w:rPr>
                <w:b/>
                <w:color w:val="FFFFFF"/>
                <w:sz w:val="19"/>
              </w:rPr>
              <w:t>Member societies covered</w:t>
            </w:r>
          </w:p>
        </w:tc>
        <w:tc>
          <w:tcPr>
            <w:tcW w:type="dxa" w:w="4989"/>
            <w:shd w:val="clear" w:color="auto" w:fill="16324F"/>
          </w:tcPr>
          <w:p>
            <w:r/>
            <w:r>
              <w:rPr>
                <w:b/>
                <w:color w:val="FFFFFF"/>
                <w:sz w:val="19"/>
              </w:rPr>
              <w:t>Member-society countries with no stories</w:t>
            </w:r>
          </w:p>
        </w:tc>
      </w:tr>
      <w:tr>
        <w:tc>
          <w:tcPr>
            <w:tcW w:type="dxa" w:w="1814"/>
          </w:tcPr>
          <w:p>
            <w:r/>
            <w:r>
              <w:rPr>
                <w:sz w:val="19"/>
              </w:rPr>
              <w:t>Africa</w:t>
            </w:r>
          </w:p>
        </w:tc>
        <w:tc>
          <w:tcPr>
            <w:tcW w:type="dxa" w:w="1020"/>
          </w:tcPr>
          <w:p>
            <w:r/>
            <w:r>
              <w:rPr>
                <w:sz w:val="19"/>
              </w:rPr>
              <w:t>0</w:t>
            </w:r>
          </w:p>
        </w:tc>
        <w:tc>
          <w:tcPr>
            <w:tcW w:type="dxa" w:w="1814"/>
          </w:tcPr>
          <w:p>
            <w:r/>
            <w:r>
              <w:rPr>
                <w:sz w:val="19"/>
              </w:rPr>
              <w:t>0 of 8</w:t>
            </w:r>
          </w:p>
        </w:tc>
        <w:tc>
          <w:tcPr>
            <w:tcW w:type="dxa" w:w="4989"/>
          </w:tcPr>
          <w:p>
            <w:r/>
            <w:r>
              <w:rPr>
                <w:sz w:val="19"/>
              </w:rPr>
              <w:t>Egypt, Kenya, Morocco, Nigeria, South Africa, Tunisia, Zambia, Zimbabwe</w:t>
            </w:r>
          </w:p>
        </w:tc>
      </w:tr>
      <w:tr>
        <w:tc>
          <w:tcPr>
            <w:tcW w:type="dxa" w:w="1814"/>
            <w:shd w:val="clear" w:color="auto" w:fill="F3F5F7"/>
          </w:tcPr>
          <w:p>
            <w:r/>
            <w:r>
              <w:rPr>
                <w:sz w:val="19"/>
              </w:rPr>
              <w:t>Asia</w:t>
            </w:r>
          </w:p>
        </w:tc>
        <w:tc>
          <w:tcPr>
            <w:tcW w:type="dxa" w:w="1020"/>
            <w:shd w:val="clear" w:color="auto" w:fill="F3F5F7"/>
          </w:tcPr>
          <w:p>
            <w:r/>
            <w:r>
              <w:rPr>
                <w:sz w:val="19"/>
              </w:rPr>
              <w:t>53</w:t>
            </w:r>
          </w:p>
        </w:tc>
        <w:tc>
          <w:tcPr>
            <w:tcW w:type="dxa" w:w="1814"/>
            <w:shd w:val="clear" w:color="auto" w:fill="F3F5F7"/>
          </w:tcPr>
          <w:p>
            <w:r/>
            <w:r>
              <w:rPr>
                <w:sz w:val="19"/>
              </w:rPr>
              <w:t>6 of 26</w:t>
            </w:r>
          </w:p>
        </w:tc>
        <w:tc>
          <w:tcPr>
            <w:tcW w:type="dxa" w:w="4989"/>
            <w:shd w:val="clear" w:color="auto" w:fill="F3F5F7"/>
          </w:tcPr>
          <w:p>
            <w:r/>
            <w:r>
              <w:rPr>
                <w:sz w:val="19"/>
              </w:rPr>
              <w:t>Bangladesh, China, Hong Kong, Iran, Iraq, Kazakhstan, Kyrgyzstan, Lebanon, Mongolia, Nepal, Pakistan, Philippines, Singapore, Sri Lanka, Syria, Taiwan, Tajikistan, Thailand, United Arab Emirates, Uzbekistan</w:t>
            </w:r>
          </w:p>
        </w:tc>
      </w:tr>
      <w:tr>
        <w:tc>
          <w:tcPr>
            <w:tcW w:type="dxa" w:w="1814"/>
          </w:tcPr>
          <w:p>
            <w:r/>
            <w:r>
              <w:rPr>
                <w:sz w:val="19"/>
              </w:rPr>
              <w:t>Australasia</w:t>
            </w:r>
          </w:p>
        </w:tc>
        <w:tc>
          <w:tcPr>
            <w:tcW w:type="dxa" w:w="1020"/>
          </w:tcPr>
          <w:p>
            <w:r/>
            <w:r>
              <w:rPr>
                <w:sz w:val="19"/>
              </w:rPr>
              <w:t>2</w:t>
            </w:r>
          </w:p>
        </w:tc>
        <w:tc>
          <w:tcPr>
            <w:tcW w:type="dxa" w:w="1814"/>
          </w:tcPr>
          <w:p>
            <w:r/>
            <w:r>
              <w:rPr>
                <w:sz w:val="19"/>
              </w:rPr>
              <w:t>1 of 2</w:t>
            </w:r>
          </w:p>
        </w:tc>
        <w:tc>
          <w:tcPr>
            <w:tcW w:type="dxa" w:w="4989"/>
          </w:tcPr>
          <w:p>
            <w:r/>
            <w:r>
              <w:rPr>
                <w:sz w:val="19"/>
              </w:rPr>
              <w:t>New Zealand</w:t>
            </w:r>
          </w:p>
        </w:tc>
      </w:tr>
      <w:tr>
        <w:tc>
          <w:tcPr>
            <w:tcW w:type="dxa" w:w="1814"/>
            <w:shd w:val="clear" w:color="auto" w:fill="F3F5F7"/>
          </w:tcPr>
          <w:p>
            <w:r/>
            <w:r>
              <w:rPr>
                <w:sz w:val="19"/>
              </w:rPr>
              <w:t>Europe</w:t>
            </w:r>
          </w:p>
        </w:tc>
        <w:tc>
          <w:tcPr>
            <w:tcW w:type="dxa" w:w="1020"/>
            <w:shd w:val="clear" w:color="auto" w:fill="F3F5F7"/>
          </w:tcPr>
          <w:p>
            <w:r/>
            <w:r>
              <w:rPr>
                <w:sz w:val="19"/>
              </w:rPr>
              <w:t>15</w:t>
            </w:r>
          </w:p>
        </w:tc>
        <w:tc>
          <w:tcPr>
            <w:tcW w:type="dxa" w:w="1814"/>
            <w:shd w:val="clear" w:color="auto" w:fill="F3F5F7"/>
          </w:tcPr>
          <w:p>
            <w:r/>
            <w:r>
              <w:rPr>
                <w:sz w:val="19"/>
              </w:rPr>
              <w:t>5 of 37</w:t>
            </w:r>
          </w:p>
        </w:tc>
        <w:tc>
          <w:tcPr>
            <w:tcW w:type="dxa" w:w="4989"/>
            <w:shd w:val="clear" w:color="auto" w:fill="F3F5F7"/>
          </w:tcPr>
          <w:p>
            <w:r/>
            <w:r>
              <w:rPr>
                <w:sz w:val="19"/>
              </w:rPr>
              <w:t>Austria, Belgium, Bosnia and Herzegovina, Bulgaria, Croatia, Cyprus, Czechia, Denmark, Estonia, Finland, France, Georgia, Germany, Greece, Hungary, Iceland, Ireland, Israel, Latvia, Lithuania, Netherlands, North Macedonia, Norway, Poland, Portugal, Romania, Serbia, Slovakia, Slovenia, Spain, Sweden, Switzerland</w:t>
            </w:r>
          </w:p>
        </w:tc>
      </w:tr>
      <w:tr>
        <w:tc>
          <w:tcPr>
            <w:tcW w:type="dxa" w:w="1814"/>
          </w:tcPr>
          <w:p>
            <w:r/>
            <w:r>
              <w:rPr>
                <w:sz w:val="19"/>
              </w:rPr>
              <w:t>North America</w:t>
            </w:r>
          </w:p>
        </w:tc>
        <w:tc>
          <w:tcPr>
            <w:tcW w:type="dxa" w:w="1020"/>
          </w:tcPr>
          <w:p>
            <w:r/>
            <w:r>
              <w:rPr>
                <w:sz w:val="19"/>
              </w:rPr>
              <w:t>14</w:t>
            </w:r>
          </w:p>
        </w:tc>
        <w:tc>
          <w:tcPr>
            <w:tcW w:type="dxa" w:w="1814"/>
          </w:tcPr>
          <w:p>
            <w:r/>
            <w:r>
              <w:rPr>
                <w:sz w:val="19"/>
              </w:rPr>
              <w:t>3 of 3</w:t>
            </w:r>
          </w:p>
        </w:tc>
        <w:tc>
          <w:tcPr>
            <w:tcW w:type="dxa" w:w="4989"/>
          </w:tcPr>
          <w:p>
            <w:r/>
            <w:r>
              <w:rPr>
                <w:sz w:val="19"/>
              </w:rPr>
              <w:t>—</w:t>
            </w:r>
          </w:p>
        </w:tc>
      </w:tr>
      <w:tr>
        <w:tc>
          <w:tcPr>
            <w:tcW w:type="dxa" w:w="1814"/>
            <w:shd w:val="clear" w:color="auto" w:fill="F3F5F7"/>
          </w:tcPr>
          <w:p>
            <w:r/>
            <w:r>
              <w:rPr>
                <w:sz w:val="19"/>
              </w:rPr>
              <w:t>South America</w:t>
            </w:r>
          </w:p>
        </w:tc>
        <w:tc>
          <w:tcPr>
            <w:tcW w:type="dxa" w:w="1020"/>
            <w:shd w:val="clear" w:color="auto" w:fill="F3F5F7"/>
          </w:tcPr>
          <w:p>
            <w:r/>
            <w:r>
              <w:rPr>
                <w:sz w:val="19"/>
              </w:rPr>
              <w:t>14</w:t>
            </w:r>
          </w:p>
        </w:tc>
        <w:tc>
          <w:tcPr>
            <w:tcW w:type="dxa" w:w="1814"/>
            <w:shd w:val="clear" w:color="auto" w:fill="F3F5F7"/>
          </w:tcPr>
          <w:p>
            <w:r/>
            <w:r>
              <w:rPr>
                <w:sz w:val="19"/>
              </w:rPr>
              <w:t>3 of 11</w:t>
            </w:r>
          </w:p>
        </w:tc>
        <w:tc>
          <w:tcPr>
            <w:tcW w:type="dxa" w:w="4989"/>
            <w:shd w:val="clear" w:color="auto" w:fill="F3F5F7"/>
          </w:tcPr>
          <w:p>
            <w:r/>
            <w:r>
              <w:rPr>
                <w:sz w:val="19"/>
              </w:rPr>
              <w:t>Bolivia, Brazil, Costa Rica, Cuba, Guatemala, Paraguay, Peru, Venezuela</w:t>
            </w:r>
          </w:p>
        </w:tc>
      </w:tr>
    </w:tbl>
    <w:p/>
    <w:p>
      <w:r>
        <w:rPr>
          <w:i/>
          <w:color w:val="5B6573"/>
          <w:sz w:val="18"/>
        </w:rPr>
        <w:t>A story's country is where its event, project or site is, as Claude read it (not the outlet's country or the Google News edition). The map page shows every country and period.</w:t>
      </w:r>
    </w:p>
    <w:p>
      <w:pPr>
        <w:pStyle w:val="Heading1"/>
      </w:pPr>
      <w:r>
        <w:rPr>
          <w:color w:val="16324F"/>
        </w:rPr>
        <w:t>7. Developing stories</w:t>
      </w:r>
    </w:p>
    <w:p>
      <w:r>
        <w:t>11 developing stories link 25 reports; 11 had a new report in the last 90 days. The most followed:</w:t>
      </w:r>
    </w:p>
    <w:tbl>
      <w:tblPr>
        <w:tblStyle w:val="TableGrid"/>
        <w:tblW w:type="auto" w:w="0"/>
        <w:jc w:val="center"/>
        <w:tblLayout w:type="fixed"/>
        <w:tblLook w:firstColumn="1" w:firstRow="1" w:lastColumn="0" w:lastRow="0" w:noHBand="0" w:noVBand="1" w:val="04A0"/>
      </w:tblPr>
      <w:tblGrid>
        <w:gridCol w:w="3061"/>
        <w:gridCol w:w="1928"/>
        <w:gridCol w:w="907"/>
        <w:gridCol w:w="1191"/>
        <w:gridCol w:w="1191"/>
        <w:gridCol w:w="1361"/>
      </w:tblGrid>
      <w:tr>
        <w:tc>
          <w:tcPr>
            <w:tcW w:type="dxa" w:w="3061"/>
            <w:shd w:val="clear" w:color="auto" w:fill="16324F"/>
          </w:tcPr>
          <w:p>
            <w:r/>
            <w:r>
              <w:rPr>
                <w:b/>
                <w:color w:val="FFFFFF"/>
                <w:sz w:val="19"/>
              </w:rPr>
              <w:t>Developing story</w:t>
            </w:r>
          </w:p>
        </w:tc>
        <w:tc>
          <w:tcPr>
            <w:tcW w:type="dxa" w:w="1928"/>
            <w:shd w:val="clear" w:color="auto" w:fill="16324F"/>
          </w:tcPr>
          <w:p>
            <w:r/>
            <w:r>
              <w:rPr>
                <w:b/>
                <w:color w:val="FFFFFF"/>
                <w:sz w:val="19"/>
              </w:rPr>
              <w:t>Where</w:t>
            </w:r>
          </w:p>
        </w:tc>
        <w:tc>
          <w:tcPr>
            <w:tcW w:type="dxa" w:w="907"/>
            <w:shd w:val="clear" w:color="auto" w:fill="16324F"/>
          </w:tcPr>
          <w:p>
            <w:r/>
            <w:r>
              <w:rPr>
                <w:b/>
                <w:color w:val="FFFFFF"/>
                <w:sz w:val="19"/>
              </w:rPr>
              <w:t>Reports</w:t>
            </w:r>
          </w:p>
        </w:tc>
        <w:tc>
          <w:tcPr>
            <w:tcW w:type="dxa" w:w="1191"/>
            <w:shd w:val="clear" w:color="auto" w:fill="16324F"/>
          </w:tcPr>
          <w:p>
            <w:r/>
            <w:r>
              <w:rPr>
                <w:b/>
                <w:color w:val="FFFFFF"/>
                <w:sz w:val="19"/>
              </w:rPr>
              <w:t>First</w:t>
            </w:r>
          </w:p>
        </w:tc>
        <w:tc>
          <w:tcPr>
            <w:tcW w:type="dxa" w:w="1191"/>
            <w:shd w:val="clear" w:color="auto" w:fill="16324F"/>
          </w:tcPr>
          <w:p>
            <w:r/>
            <w:r>
              <w:rPr>
                <w:b/>
                <w:color w:val="FFFFFF"/>
                <w:sz w:val="19"/>
              </w:rPr>
              <w:t>Latest</w:t>
            </w:r>
          </w:p>
        </w:tc>
        <w:tc>
          <w:tcPr>
            <w:tcW w:type="dxa" w:w="1361"/>
            <w:shd w:val="clear" w:color="auto" w:fill="16324F"/>
          </w:tcPr>
          <w:p>
            <w:r/>
            <w:r>
              <w:rPr>
                <w:b/>
                <w:color w:val="FFFFFF"/>
                <w:sz w:val="19"/>
              </w:rPr>
              <w:t>Latest stage</w:t>
            </w:r>
          </w:p>
        </w:tc>
      </w:tr>
      <w:tr>
        <w:tc>
          <w:tcPr>
            <w:tcW w:type="dxa" w:w="3061"/>
          </w:tcPr>
          <w:p>
            <w:r/>
            <w:r>
              <w:rPr>
                <w:sz w:val="19"/>
              </w:rPr>
              <w:t>Phong Nha-Ke Bang 120 m sinkhole discovery, Vietnam</w:t>
            </w:r>
          </w:p>
        </w:tc>
        <w:tc>
          <w:tcPr>
            <w:tcW w:type="dxa" w:w="1928"/>
          </w:tcPr>
          <w:p>
            <w:r/>
            <w:r>
              <w:rPr>
                <w:sz w:val="19"/>
              </w:rPr>
              <w:t>Phong Nha-Ke Bang, Vietnam</w:t>
            </w:r>
          </w:p>
        </w:tc>
        <w:tc>
          <w:tcPr>
            <w:tcW w:type="dxa" w:w="907"/>
          </w:tcPr>
          <w:p>
            <w:r/>
            <w:r>
              <w:rPr>
                <w:sz w:val="19"/>
              </w:rPr>
              <w:t>4</w:t>
            </w:r>
          </w:p>
        </w:tc>
        <w:tc>
          <w:tcPr>
            <w:tcW w:type="dxa" w:w="1191"/>
          </w:tcPr>
          <w:p>
            <w:r/>
            <w:r>
              <w:rPr>
                <w:sz w:val="19"/>
              </w:rPr>
              <w:t>22 Oct 2026</w:t>
            </w:r>
          </w:p>
        </w:tc>
        <w:tc>
          <w:tcPr>
            <w:tcW w:type="dxa" w:w="1191"/>
          </w:tcPr>
          <w:p>
            <w:r/>
            <w:r>
              <w:rPr>
                <w:sz w:val="19"/>
              </w:rPr>
              <w:t>25 Oct 2026</w:t>
            </w:r>
          </w:p>
        </w:tc>
        <w:tc>
          <w:tcPr>
            <w:tcW w:type="dxa" w:w="1361"/>
          </w:tcPr>
          <w:p>
            <w:r/>
            <w:r>
              <w:rPr>
                <w:sz w:val="19"/>
              </w:rPr>
              <w:t>Update</w:t>
            </w:r>
          </w:p>
        </w:tc>
      </w:tr>
      <w:tr>
        <w:tc>
          <w:tcPr>
            <w:tcW w:type="dxa" w:w="3061"/>
            <w:shd w:val="clear" w:color="auto" w:fill="F3F5F7"/>
          </w:tcPr>
          <w:p>
            <w:r/>
            <w:r>
              <w:rPr>
                <w:sz w:val="19"/>
              </w:rPr>
              <w:t>Paya Terubong landslide, Penang, Malaysia (Oct 2026)</w:t>
            </w:r>
          </w:p>
        </w:tc>
        <w:tc>
          <w:tcPr>
            <w:tcW w:type="dxa" w:w="1928"/>
            <w:shd w:val="clear" w:color="auto" w:fill="F3F5F7"/>
          </w:tcPr>
          <w:p>
            <w:r/>
            <w:r>
              <w:rPr>
                <w:sz w:val="19"/>
              </w:rPr>
              <w:t>Paya Terubong, Penang, Malaysia</w:t>
            </w:r>
          </w:p>
        </w:tc>
        <w:tc>
          <w:tcPr>
            <w:tcW w:type="dxa" w:w="907"/>
            <w:shd w:val="clear" w:color="auto" w:fill="F3F5F7"/>
          </w:tcPr>
          <w:p>
            <w:r/>
            <w:r>
              <w:rPr>
                <w:sz w:val="19"/>
              </w:rPr>
              <w:t>3</w:t>
            </w:r>
          </w:p>
        </w:tc>
        <w:tc>
          <w:tcPr>
            <w:tcW w:type="dxa" w:w="1191"/>
            <w:shd w:val="clear" w:color="auto" w:fill="F3F5F7"/>
          </w:tcPr>
          <w:p>
            <w:r/>
            <w:r>
              <w:rPr>
                <w:sz w:val="19"/>
              </w:rPr>
              <w:t>25 Oct 2026</w:t>
            </w:r>
          </w:p>
        </w:tc>
        <w:tc>
          <w:tcPr>
            <w:tcW w:type="dxa" w:w="1191"/>
            <w:shd w:val="clear" w:color="auto" w:fill="F3F5F7"/>
          </w:tcPr>
          <w:p>
            <w:r/>
            <w:r>
              <w:rPr>
                <w:sz w:val="19"/>
              </w:rPr>
              <w:t>25 Oct 2026</w:t>
            </w:r>
          </w:p>
        </w:tc>
        <w:tc>
          <w:tcPr>
            <w:tcW w:type="dxa" w:w="1361"/>
            <w:shd w:val="clear" w:color="auto" w:fill="F3F5F7"/>
          </w:tcPr>
          <w:p>
            <w:r/>
            <w:r>
              <w:rPr>
                <w:sz w:val="19"/>
              </w:rPr>
              <w:t>Legal &amp; policy</w:t>
            </w:r>
          </w:p>
        </w:tc>
      </w:tr>
      <w:tr>
        <w:tc>
          <w:tcPr>
            <w:tcW w:type="dxa" w:w="3061"/>
          </w:tcPr>
          <w:p>
            <w:r/>
            <w:r>
              <w:rPr>
                <w:sz w:val="19"/>
              </w:rPr>
              <w:t>Provincial Road 160 Chay River landslides, Vietnam (Oct 2026)</w:t>
            </w:r>
          </w:p>
        </w:tc>
        <w:tc>
          <w:tcPr>
            <w:tcW w:type="dxa" w:w="1928"/>
          </w:tcPr>
          <w:p>
            <w:r/>
            <w:r>
              <w:rPr>
                <w:sz w:val="19"/>
              </w:rPr>
              <w:t>Provincial Road 160, Chay River, Vietnam</w:t>
            </w:r>
          </w:p>
        </w:tc>
        <w:tc>
          <w:tcPr>
            <w:tcW w:type="dxa" w:w="907"/>
          </w:tcPr>
          <w:p>
            <w:r/>
            <w:r>
              <w:rPr>
                <w:sz w:val="19"/>
              </w:rPr>
              <w:t>2</w:t>
            </w:r>
          </w:p>
        </w:tc>
        <w:tc>
          <w:tcPr>
            <w:tcW w:type="dxa" w:w="1191"/>
          </w:tcPr>
          <w:p>
            <w:r/>
            <w:r>
              <w:rPr>
                <w:sz w:val="19"/>
              </w:rPr>
              <w:t>25 Oct 2026</w:t>
            </w:r>
          </w:p>
        </w:tc>
        <w:tc>
          <w:tcPr>
            <w:tcW w:type="dxa" w:w="1191"/>
          </w:tcPr>
          <w:p>
            <w:r/>
            <w:r>
              <w:rPr>
                <w:sz w:val="19"/>
              </w:rPr>
              <w:t>25 Oct 2026</w:t>
            </w:r>
          </w:p>
        </w:tc>
        <w:tc>
          <w:tcPr>
            <w:tcW w:type="dxa" w:w="1361"/>
          </w:tcPr>
          <w:p>
            <w:r/>
            <w:r>
              <w:rPr>
                <w:sz w:val="19"/>
              </w:rPr>
              <w:t>Response &amp; recovery</w:t>
            </w:r>
          </w:p>
        </w:tc>
      </w:tr>
      <w:tr>
        <w:tc>
          <w:tcPr>
            <w:tcW w:type="dxa" w:w="3061"/>
            <w:shd w:val="clear" w:color="auto" w:fill="F3F5F7"/>
          </w:tcPr>
          <w:p>
            <w:r/>
            <w:r>
              <w:rPr>
                <w:sz w:val="19"/>
              </w:rPr>
              <w:t>Arauco sinkhole, Chile (Oct 2026)</w:t>
            </w:r>
          </w:p>
        </w:tc>
        <w:tc>
          <w:tcPr>
            <w:tcW w:type="dxa" w:w="1928"/>
            <w:shd w:val="clear" w:color="auto" w:fill="F3F5F7"/>
          </w:tcPr>
          <w:p>
            <w:r/>
            <w:r>
              <w:rPr>
                <w:sz w:val="19"/>
              </w:rPr>
              <w:t>Villa El Mirador, Arauco, Chile</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25 Oct 2026</w:t>
            </w:r>
          </w:p>
        </w:tc>
        <w:tc>
          <w:tcPr>
            <w:tcW w:type="dxa" w:w="1361"/>
            <w:shd w:val="clear" w:color="auto" w:fill="F3F5F7"/>
          </w:tcPr>
          <w:p>
            <w:r/>
            <w:r>
              <w:rPr>
                <w:sz w:val="19"/>
              </w:rPr>
              <w:t>Response &amp; recovery</w:t>
            </w:r>
          </w:p>
        </w:tc>
      </w:tr>
      <w:tr>
        <w:tc>
          <w:tcPr>
            <w:tcW w:type="dxa" w:w="3061"/>
          </w:tcPr>
          <w:p>
            <w:r/>
            <w:r>
              <w:rPr>
                <w:sz w:val="19"/>
              </w:rPr>
              <w:t>Typhoon 25 landslides, Bōsō Peninsula, Japan (Oct 2026)</w:t>
            </w:r>
          </w:p>
        </w:tc>
        <w:tc>
          <w:tcPr>
            <w:tcW w:type="dxa" w:w="1928"/>
          </w:tcPr>
          <w:p>
            <w:r/>
            <w:r>
              <w:rPr>
                <w:sz w:val="19"/>
              </w:rPr>
              <w:t>Bōsō Peninsula, Chiba, Japan</w:t>
            </w:r>
          </w:p>
        </w:tc>
        <w:tc>
          <w:tcPr>
            <w:tcW w:type="dxa" w:w="907"/>
          </w:tcPr>
          <w:p>
            <w:r/>
            <w:r>
              <w:rPr>
                <w:sz w:val="19"/>
              </w:rPr>
              <w:t>2</w:t>
            </w:r>
          </w:p>
        </w:tc>
        <w:tc>
          <w:tcPr>
            <w:tcW w:type="dxa" w:w="1191"/>
          </w:tcPr>
          <w:p>
            <w:r/>
            <w:r>
              <w:rPr>
                <w:sz w:val="19"/>
              </w:rPr>
              <w:t>23 Oct 2026</w:t>
            </w:r>
          </w:p>
        </w:tc>
        <w:tc>
          <w:tcPr>
            <w:tcW w:type="dxa" w:w="1191"/>
          </w:tcPr>
          <w:p>
            <w:r/>
            <w:r>
              <w:rPr>
                <w:sz w:val="19"/>
              </w:rPr>
              <w:t>24 Oct 2026</w:t>
            </w:r>
          </w:p>
        </w:tc>
        <w:tc>
          <w:tcPr>
            <w:tcW w:type="dxa" w:w="1361"/>
          </w:tcPr>
          <w:p>
            <w:r/>
            <w:r>
              <w:rPr>
                <w:sz w:val="19"/>
              </w:rPr>
              <w:t>Event</w:t>
            </w:r>
          </w:p>
        </w:tc>
      </w:tr>
      <w:tr>
        <w:tc>
          <w:tcPr>
            <w:tcW w:type="dxa" w:w="3061"/>
            <w:shd w:val="clear" w:color="auto" w:fill="F3F5F7"/>
          </w:tcPr>
          <w:p>
            <w:r/>
            <w:r>
              <w:rPr>
                <w:sz w:val="19"/>
              </w:rPr>
              <w:t>Aucapán road sinkhole traps ambulance, Argentina (Oct 2026)</w:t>
            </w:r>
          </w:p>
        </w:tc>
        <w:tc>
          <w:tcPr>
            <w:tcW w:type="dxa" w:w="1928"/>
            <w:shd w:val="clear" w:color="auto" w:fill="F3F5F7"/>
          </w:tcPr>
          <w:p>
            <w:r/>
            <w:r>
              <w:rPr>
                <w:sz w:val="19"/>
              </w:rPr>
              <w:t>Aucapan, Neuquen, Argentina</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24 Oct 2026</w:t>
            </w:r>
          </w:p>
        </w:tc>
        <w:tc>
          <w:tcPr>
            <w:tcW w:type="dxa" w:w="1361"/>
            <w:shd w:val="clear" w:color="auto" w:fill="F3F5F7"/>
          </w:tcPr>
          <w:p>
            <w:r/>
            <w:r>
              <w:rPr>
                <w:sz w:val="19"/>
              </w:rPr>
              <w:t>Event</w:t>
            </w:r>
          </w:p>
        </w:tc>
      </w:tr>
      <w:tr>
        <w:tc>
          <w:tcPr>
            <w:tcW w:type="dxa" w:w="3061"/>
          </w:tcPr>
          <w:p>
            <w:r/>
            <w:r>
              <w:rPr>
                <w:sz w:val="19"/>
              </w:rPr>
              <w:t>Mot Mountain levelling proposal, Quy Nhon, Vietnam</w:t>
            </w:r>
          </w:p>
        </w:tc>
        <w:tc>
          <w:tcPr>
            <w:tcW w:type="dxa" w:w="1928"/>
          </w:tcPr>
          <w:p>
            <w:r/>
            <w:r>
              <w:rPr>
                <w:sz w:val="19"/>
              </w:rPr>
              <w:t>Quy Nhon, Binh Dinh, Vietnam</w:t>
            </w:r>
          </w:p>
        </w:tc>
        <w:tc>
          <w:tcPr>
            <w:tcW w:type="dxa" w:w="907"/>
          </w:tcPr>
          <w:p>
            <w:r/>
            <w:r>
              <w:rPr>
                <w:sz w:val="19"/>
              </w:rPr>
              <w:t>2</w:t>
            </w:r>
          </w:p>
        </w:tc>
        <w:tc>
          <w:tcPr>
            <w:tcW w:type="dxa" w:w="1191"/>
          </w:tcPr>
          <w:p>
            <w:r/>
            <w:r>
              <w:rPr>
                <w:sz w:val="19"/>
              </w:rPr>
              <w:t>23 Oct 2026</w:t>
            </w:r>
          </w:p>
        </w:tc>
        <w:tc>
          <w:tcPr>
            <w:tcW w:type="dxa" w:w="1191"/>
          </w:tcPr>
          <w:p>
            <w:r/>
            <w:r>
              <w:rPr>
                <w:sz w:val="19"/>
              </w:rPr>
              <w:t>24 Oct 2026</w:t>
            </w:r>
          </w:p>
        </w:tc>
        <w:tc>
          <w:tcPr>
            <w:tcW w:type="dxa" w:w="1361"/>
          </w:tcPr>
          <w:p>
            <w:r/>
            <w:r>
              <w:rPr>
                <w:sz w:val="19"/>
              </w:rPr>
              <w:t>Event</w:t>
            </w:r>
          </w:p>
        </w:tc>
      </w:tr>
      <w:tr>
        <w:tc>
          <w:tcPr>
            <w:tcW w:type="dxa" w:w="3061"/>
            <w:shd w:val="clear" w:color="auto" w:fill="F3F5F7"/>
          </w:tcPr>
          <w:p>
            <w:r/>
            <w:r>
              <w:rPr>
                <w:sz w:val="19"/>
              </w:rPr>
              <w:t>Mot Mountain levelling proposal, Quy Nhon, Vietnam</w:t>
            </w:r>
          </w:p>
        </w:tc>
        <w:tc>
          <w:tcPr>
            <w:tcW w:type="dxa" w:w="1928"/>
            <w:shd w:val="clear" w:color="auto" w:fill="F3F5F7"/>
          </w:tcPr>
          <w:p>
            <w:r/>
            <w:r>
              <w:rPr>
                <w:sz w:val="19"/>
              </w:rPr>
              <w:t>Mot Mountain, Quy Nhon, Vietnam</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24 Oct 2026</w:t>
            </w:r>
          </w:p>
        </w:tc>
        <w:tc>
          <w:tcPr>
            <w:tcW w:type="dxa" w:w="1361"/>
            <w:shd w:val="clear" w:color="auto" w:fill="F3F5F7"/>
          </w:tcPr>
          <w:p>
            <w:r/>
            <w:r>
              <w:rPr>
                <w:sz w:val="19"/>
              </w:rPr>
              <w:t>Event</w:t>
            </w:r>
          </w:p>
        </w:tc>
      </w:tr>
      <w:tr>
        <w:tc>
          <w:tcPr>
            <w:tcW w:type="dxa" w:w="3061"/>
          </w:tcPr>
          <w:p>
            <w:r/>
            <w:r>
              <w:rPr>
                <w:sz w:val="19"/>
              </w:rPr>
              <w:t>Nghe An coastal road embankment landslide, Vietnam (Oct 2026)</w:t>
            </w:r>
          </w:p>
        </w:tc>
        <w:tc>
          <w:tcPr>
            <w:tcW w:type="dxa" w:w="1928"/>
          </w:tcPr>
          <w:p>
            <w:r/>
            <w:r>
              <w:rPr>
                <w:sz w:val="19"/>
              </w:rPr>
              <w:t>Nghe An, Vietnam</w:t>
            </w:r>
          </w:p>
        </w:tc>
        <w:tc>
          <w:tcPr>
            <w:tcW w:type="dxa" w:w="907"/>
          </w:tcPr>
          <w:p>
            <w:r/>
            <w:r>
              <w:rPr>
                <w:sz w:val="19"/>
              </w:rPr>
              <w:t>2</w:t>
            </w:r>
          </w:p>
        </w:tc>
        <w:tc>
          <w:tcPr>
            <w:tcW w:type="dxa" w:w="1191"/>
          </w:tcPr>
          <w:p>
            <w:r/>
            <w:r>
              <w:rPr>
                <w:sz w:val="19"/>
              </w:rPr>
              <w:t>23 Oct 2026</w:t>
            </w:r>
          </w:p>
        </w:tc>
        <w:tc>
          <w:tcPr>
            <w:tcW w:type="dxa" w:w="1191"/>
          </w:tcPr>
          <w:p>
            <w:r/>
            <w:r>
              <w:rPr>
                <w:sz w:val="19"/>
              </w:rPr>
              <w:t>23 Oct 2026</w:t>
            </w:r>
          </w:p>
        </w:tc>
        <w:tc>
          <w:tcPr>
            <w:tcW w:type="dxa" w:w="1361"/>
          </w:tcPr>
          <w:p>
            <w:r/>
            <w:r>
              <w:rPr>
                <w:sz w:val="19"/>
              </w:rPr>
              <w:t>Response &amp; recovery</w:t>
            </w:r>
          </w:p>
        </w:tc>
      </w:tr>
      <w:tr>
        <w:tc>
          <w:tcPr>
            <w:tcW w:type="dxa" w:w="3061"/>
            <w:shd w:val="clear" w:color="auto" w:fill="F3F5F7"/>
          </w:tcPr>
          <w:p>
            <w:r/>
            <w:r>
              <w:rPr>
                <w:sz w:val="19"/>
              </w:rPr>
              <w:t>Quang Tri coastal erosion threatening dykes, Vietnam (Oct 2026)</w:t>
            </w:r>
          </w:p>
        </w:tc>
        <w:tc>
          <w:tcPr>
            <w:tcW w:type="dxa" w:w="1928"/>
            <w:shd w:val="clear" w:color="auto" w:fill="F3F5F7"/>
          </w:tcPr>
          <w:p>
            <w:r/>
            <w:r>
              <w:rPr>
                <w:sz w:val="19"/>
              </w:rPr>
              <w:t>Quang Tri, Vietnam</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23 Oct 2026</w:t>
            </w:r>
          </w:p>
        </w:tc>
        <w:tc>
          <w:tcPr>
            <w:tcW w:type="dxa" w:w="1361"/>
            <w:shd w:val="clear" w:color="auto" w:fill="F3F5F7"/>
          </w:tcPr>
          <w:p>
            <w:r/>
            <w:r>
              <w:rPr>
                <w:sz w:val="19"/>
              </w:rPr>
              <w:t>Event</w:t>
            </w:r>
          </w:p>
        </w:tc>
      </w:tr>
    </w:tbl>
    <w:p/>
    <w:p>
      <w:pPr>
        <w:pStyle w:val="Heading1"/>
      </w:pPr>
      <w:r>
        <w:rPr>
          <w:color w:val="16324F"/>
        </w:rPr>
        <w:t>8. Research papers (Q4 2026)</w:t>
      </w:r>
    </w:p>
    <w:p>
      <w:r>
        <w:t>23 new papers from 13 journals were picked up for Academia-to-Industry topics.</w:t>
      </w:r>
    </w:p>
    <w:tbl>
      <w:tblPr>
        <w:tblStyle w:val="TableGrid"/>
        <w:tblW w:type="auto" w:w="0"/>
        <w:jc w:val="center"/>
        <w:tblLayout w:type="fixed"/>
        <w:tblLook w:firstColumn="1" w:firstRow="1" w:lastColumn="0" w:lastRow="0" w:noHBand="0" w:noVBand="1" w:val="04A0"/>
      </w:tblPr>
      <w:tblGrid>
        <w:gridCol w:w="6803"/>
        <w:gridCol w:w="1701"/>
      </w:tblGrid>
      <w:tr>
        <w:tc>
          <w:tcPr>
            <w:tcW w:type="dxa" w:w="6803"/>
            <w:shd w:val="clear" w:color="auto" w:fill="16324F"/>
          </w:tcPr>
          <w:p>
            <w:r/>
            <w:r>
              <w:rPr>
                <w:b/>
                <w:color w:val="FFFFFF"/>
                <w:sz w:val="19"/>
              </w:rPr>
              <w:t>Journal</w:t>
            </w:r>
          </w:p>
        </w:tc>
        <w:tc>
          <w:tcPr>
            <w:tcW w:type="dxa" w:w="1701"/>
            <w:shd w:val="clear" w:color="auto" w:fill="16324F"/>
          </w:tcPr>
          <w:p>
            <w:r/>
            <w:r>
              <w:rPr>
                <w:b/>
                <w:color w:val="FFFFFF"/>
                <w:sz w:val="19"/>
              </w:rPr>
              <w:t>Papers</w:t>
            </w:r>
          </w:p>
        </w:tc>
      </w:tr>
      <w:tr>
        <w:tc>
          <w:tcPr>
            <w:tcW w:type="dxa" w:w="6803"/>
          </w:tcPr>
          <w:p>
            <w:r/>
            <w:r>
              <w:rPr>
                <w:sz w:val="19"/>
              </w:rPr>
              <w:t>Journal of Geotechnical and Geoenvironmental Engineering</w:t>
            </w:r>
          </w:p>
        </w:tc>
        <w:tc>
          <w:tcPr>
            <w:tcW w:type="dxa" w:w="1701"/>
          </w:tcPr>
          <w:p>
            <w:r/>
            <w:r>
              <w:rPr>
                <w:sz w:val="19"/>
              </w:rPr>
              <w:t>4</w:t>
            </w:r>
          </w:p>
        </w:tc>
      </w:tr>
      <w:tr>
        <w:tc>
          <w:tcPr>
            <w:tcW w:type="dxa" w:w="6803"/>
            <w:shd w:val="clear" w:color="auto" w:fill="F3F5F7"/>
          </w:tcPr>
          <w:p>
            <w:r/>
            <w:r>
              <w:rPr>
                <w:sz w:val="19"/>
              </w:rPr>
              <w:t>Computers and Geotechnics</w:t>
            </w:r>
          </w:p>
        </w:tc>
        <w:tc>
          <w:tcPr>
            <w:tcW w:type="dxa" w:w="1701"/>
            <w:shd w:val="clear" w:color="auto" w:fill="F3F5F7"/>
          </w:tcPr>
          <w:p>
            <w:r/>
            <w:r>
              <w:rPr>
                <w:sz w:val="19"/>
              </w:rPr>
              <w:t>3</w:t>
            </w:r>
          </w:p>
        </w:tc>
      </w:tr>
      <w:tr>
        <w:tc>
          <w:tcPr>
            <w:tcW w:type="dxa" w:w="6803"/>
          </w:tcPr>
          <w:p>
            <w:r/>
            <w:r>
              <w:rPr>
                <w:sz w:val="19"/>
              </w:rPr>
              <w:t>Engineering Geology</w:t>
            </w:r>
          </w:p>
        </w:tc>
        <w:tc>
          <w:tcPr>
            <w:tcW w:type="dxa" w:w="1701"/>
          </w:tcPr>
          <w:p>
            <w:r/>
            <w:r>
              <w:rPr>
                <w:sz w:val="19"/>
              </w:rPr>
              <w:t>3</w:t>
            </w:r>
          </w:p>
        </w:tc>
      </w:tr>
      <w:tr>
        <w:tc>
          <w:tcPr>
            <w:tcW w:type="dxa" w:w="6803"/>
            <w:shd w:val="clear" w:color="auto" w:fill="F3F5F7"/>
          </w:tcPr>
          <w:p>
            <w:r/>
            <w:r>
              <w:rPr>
                <w:sz w:val="19"/>
              </w:rPr>
              <w:t>Soil Dynamics and Earthquake Engineering</w:t>
            </w:r>
          </w:p>
        </w:tc>
        <w:tc>
          <w:tcPr>
            <w:tcW w:type="dxa" w:w="1701"/>
            <w:shd w:val="clear" w:color="auto" w:fill="F3F5F7"/>
          </w:tcPr>
          <w:p>
            <w:r/>
            <w:r>
              <w:rPr>
                <w:sz w:val="19"/>
              </w:rPr>
              <w:t>2</w:t>
            </w:r>
          </w:p>
        </w:tc>
      </w:tr>
      <w:tr>
        <w:tc>
          <w:tcPr>
            <w:tcW w:type="dxa" w:w="6803"/>
          </w:tcPr>
          <w:p>
            <w:r/>
            <w:r>
              <w:rPr>
                <w:sz w:val="19"/>
              </w:rPr>
              <w:t>Transportation Geotechnics</w:t>
            </w:r>
          </w:p>
        </w:tc>
        <w:tc>
          <w:tcPr>
            <w:tcW w:type="dxa" w:w="1701"/>
          </w:tcPr>
          <w:p>
            <w:r/>
            <w:r>
              <w:rPr>
                <w:sz w:val="19"/>
              </w:rPr>
              <w:t>2</w:t>
            </w:r>
          </w:p>
        </w:tc>
      </w:tr>
      <w:tr>
        <w:tc>
          <w:tcPr>
            <w:tcW w:type="dxa" w:w="6803"/>
            <w:shd w:val="clear" w:color="auto" w:fill="F3F5F7"/>
          </w:tcPr>
          <w:p>
            <w:r/>
            <w:r>
              <w:rPr>
                <w:sz w:val="19"/>
              </w:rPr>
              <w:t>Tunnelling and Underground Space Technology</w:t>
            </w:r>
          </w:p>
        </w:tc>
        <w:tc>
          <w:tcPr>
            <w:tcW w:type="dxa" w:w="1701"/>
            <w:shd w:val="clear" w:color="auto" w:fill="F3F5F7"/>
          </w:tcPr>
          <w:p>
            <w:r/>
            <w:r>
              <w:rPr>
                <w:sz w:val="19"/>
              </w:rPr>
              <w:t>2</w:t>
            </w:r>
          </w:p>
        </w:tc>
      </w:tr>
      <w:tr>
        <w:tc>
          <w:tcPr>
            <w:tcW w:type="dxa" w:w="6803"/>
          </w:tcPr>
          <w:p>
            <w:r/>
            <w:r>
              <w:rPr>
                <w:sz w:val="19"/>
              </w:rPr>
              <w:t>Géotechnique</w:t>
            </w:r>
          </w:p>
        </w:tc>
        <w:tc>
          <w:tcPr>
            <w:tcW w:type="dxa" w:w="1701"/>
          </w:tcPr>
          <w:p>
            <w:r/>
            <w:r>
              <w:rPr>
                <w:sz w:val="19"/>
              </w:rPr>
              <w:t>1</w:t>
            </w:r>
          </w:p>
        </w:tc>
      </w:tr>
      <w:tr>
        <w:tc>
          <w:tcPr>
            <w:tcW w:type="dxa" w:w="6803"/>
            <w:shd w:val="clear" w:color="auto" w:fill="F3F5F7"/>
          </w:tcPr>
          <w:p>
            <w:r/>
            <w:r>
              <w:rPr>
                <w:sz w:val="19"/>
              </w:rPr>
              <w:t>Landslides</w:t>
            </w:r>
          </w:p>
        </w:tc>
        <w:tc>
          <w:tcPr>
            <w:tcW w:type="dxa" w:w="1701"/>
            <w:shd w:val="clear" w:color="auto" w:fill="F3F5F7"/>
          </w:tcPr>
          <w:p>
            <w:r/>
            <w:r>
              <w:rPr>
                <w:sz w:val="19"/>
              </w:rPr>
              <w:t>1</w:t>
            </w:r>
          </w:p>
        </w:tc>
      </w:tr>
      <w:tr>
        <w:tc>
          <w:tcPr>
            <w:tcW w:type="dxa" w:w="6803"/>
          </w:tcPr>
          <w:p>
            <w:r/>
            <w:r>
              <w:rPr>
                <w:sz w:val="19"/>
              </w:rPr>
              <w:t>Soils and Foundations</w:t>
            </w:r>
          </w:p>
        </w:tc>
        <w:tc>
          <w:tcPr>
            <w:tcW w:type="dxa" w:w="1701"/>
          </w:tcPr>
          <w:p>
            <w:r/>
            <w:r>
              <w:rPr>
                <w:sz w:val="19"/>
              </w:rPr>
              <w:t>1</w:t>
            </w:r>
          </w:p>
        </w:tc>
      </w:tr>
      <w:tr>
        <w:tc>
          <w:tcPr>
            <w:tcW w:type="dxa" w:w="6803"/>
            <w:shd w:val="clear" w:color="auto" w:fill="F3F5F7"/>
          </w:tcPr>
          <w:p>
            <w:r/>
            <w:r>
              <w:rPr>
                <w:sz w:val="19"/>
              </w:rPr>
              <w:t>Proceedings of the Institution of Civil Engineers - Geotechnical Engineering</w:t>
            </w:r>
          </w:p>
        </w:tc>
        <w:tc>
          <w:tcPr>
            <w:tcW w:type="dxa" w:w="1701"/>
            <w:shd w:val="clear" w:color="auto" w:fill="F3F5F7"/>
          </w:tcPr>
          <w:p>
            <w:r/>
            <w:r>
              <w:rPr>
                <w:sz w:val="19"/>
              </w:rPr>
              <w:t>1</w:t>
            </w:r>
          </w:p>
        </w:tc>
      </w:tr>
      <w:tr>
        <w:tc>
          <w:tcPr>
            <w:tcW w:type="dxa" w:w="6803"/>
          </w:tcPr>
          <w:p>
            <w:r/>
            <w:r>
              <w:rPr>
                <w:sz w:val="19"/>
              </w:rPr>
              <w:t>Acta Geotechnica</w:t>
            </w:r>
          </w:p>
        </w:tc>
        <w:tc>
          <w:tcPr>
            <w:tcW w:type="dxa" w:w="1701"/>
          </w:tcPr>
          <w:p>
            <w:r/>
            <w:r>
              <w:rPr>
                <w:sz w:val="19"/>
              </w:rPr>
              <w:t>1</w:t>
            </w:r>
          </w:p>
        </w:tc>
      </w:tr>
      <w:tr>
        <w:tc>
          <w:tcPr>
            <w:tcW w:type="dxa" w:w="6803"/>
            <w:shd w:val="clear" w:color="auto" w:fill="F3F5F7"/>
          </w:tcPr>
          <w:p>
            <w:r/>
            <w:r>
              <w:rPr>
                <w:sz w:val="19"/>
              </w:rPr>
              <w:t>Georisk: Assessment and Management of Risk for Engineered Systems and Geohazards</w:t>
            </w:r>
          </w:p>
        </w:tc>
        <w:tc>
          <w:tcPr>
            <w:tcW w:type="dxa" w:w="1701"/>
            <w:shd w:val="clear" w:color="auto" w:fill="F3F5F7"/>
          </w:tcPr>
          <w:p>
            <w:r/>
            <w:r>
              <w:rPr>
                <w:sz w:val="19"/>
              </w:rPr>
              <w:t>1</w:t>
            </w:r>
          </w:p>
        </w:tc>
      </w:tr>
      <w:tr>
        <w:tc>
          <w:tcPr>
            <w:tcW w:type="dxa" w:w="6803"/>
          </w:tcPr>
          <w:p>
            <w:r/>
            <w:r>
              <w:rPr>
                <w:sz w:val="19"/>
              </w:rPr>
              <w:t>Underground Space</w:t>
            </w:r>
          </w:p>
        </w:tc>
        <w:tc>
          <w:tcPr>
            <w:tcW w:type="dxa" w:w="1701"/>
          </w:tcPr>
          <w:p>
            <w:r/>
            <w:r>
              <w:rPr>
                <w:sz w:val="19"/>
              </w:rPr>
              <w:t>1</w:t>
            </w:r>
          </w:p>
        </w:tc>
      </w:tr>
    </w:tbl>
    <w:p/>
    <w:p>
      <w:pPr>
        <w:pStyle w:val="ListBullet"/>
      </w:pPr>
      <w:hyperlink r:id="rId10">
        <w:r>
          <w:rPr>
            <w:b/>
            <w:color w:val="1D5A8A"/>
            <w:u w:val="single"/>
          </w:rPr>
          <w:t>Secondary Compression of Deep Foundations in Carbonate Soils: An InSAR Study of Sunny Isles, Florida</w:t>
        </w:r>
      </w:hyperlink>
      <w:r>
        <w:t xml:space="preserve"> — Journal of Geotechnical and Geoenvironmental Engineering, 2026-10-24. Six years of InSAR data show building-specific settlements in carbonate soils that continue after construction, so engineers should plan for long-term deformation and monitoring of deep foundations.</w:t>
      </w:r>
    </w:p>
    <w:p>
      <w:pPr>
        <w:pStyle w:val="ListBullet"/>
      </w:pPr>
      <w:hyperlink r:id="rId11">
        <w:r>
          <w:rPr>
            <w:b/>
            <w:color w:val="1D5A8A"/>
            <w:u w:val="single"/>
          </w:rPr>
          <w:t>Probabilistic State Parameter–Based Liquefaction Triggering Model</w:t>
        </w:r>
      </w:hyperlink>
      <w:r>
        <w:t xml:space="preserve"> — Journal of Geotechnical and Geoenvironmental Engineering, 2026-10-20. A lab-anchored, state-parameter liquefaction triggering model offers an alternative to case-history procedures that can be biased, and it is validated against CPTu data practitioners already use.</w:t>
      </w:r>
    </w:p>
    <w:p>
      <w:pPr>
        <w:pStyle w:val="ListBullet"/>
      </w:pPr>
      <w:hyperlink r:id="rId12">
        <w:r>
          <w:rPr>
            <w:b/>
            <w:color w:val="1D5A8A"/>
            <w:u w:val="single"/>
          </w:rPr>
          <w:t>Experimental investigation on deformation behavior of pile-supported embankments with geogrid-tire cells reinforcement</w:t>
        </w:r>
      </w:hyperlink>
      <w:r>
        <w:t xml:space="preserve"> — Transportation Geotechnics, 2026-10-23. Experimental results on pile-supported embankments with geogrid-tire cells give practical guidance on deformation behaviour and load transfer for low-cost reinforced embankment design.</w:t>
      </w:r>
    </w:p>
    <w:p>
      <w:pPr>
        <w:pStyle w:val="ListBullet"/>
      </w:pPr>
      <w:hyperlink r:id="rId13">
        <w:r>
          <w:rPr>
            <w:b/>
            <w:color w:val="1D5A8A"/>
            <w:u w:val="single"/>
          </w:rPr>
          <w:t>From rockfall to landslide: early warning based on video monitoring in open-pit mines</w:t>
        </w:r>
      </w:hyperlink>
      <w:r>
        <w:t xml:space="preserve"> — Landslides, 2026-10-20. Video monitoring workflows that link rockfall events to developing landslides give open-pit mine operators a practical early-warning approach they could deploy now.</w:t>
      </w:r>
    </w:p>
    <w:p>
      <w:pPr>
        <w:pStyle w:val="ListBullet"/>
      </w:pPr>
      <w:hyperlink r:id="rId14">
        <w:r>
          <w:rPr>
            <w:b/>
            <w:color w:val="1D5A8A"/>
            <w:u w:val="single"/>
          </w:rPr>
          <w:t>Stiffness compatibility in geosynthetic-reinforced column-supported embankment widening over soft ground: numerical insights and a design framework</w:t>
        </w:r>
      </w:hyperlink>
      <w:r>
        <w:t xml:space="preserve"> — Soils and Foundations, 2026-10-22. A stiffness-compatibility design framework for geosynthetic-reinforced column-supported embankment widening addresses differential settlement issues that practitioners face when widening existing embankments.</w:t>
      </w:r>
    </w:p>
    <w:p>
      <w:pPr>
        <w:pStyle w:val="ListBullet"/>
      </w:pPr>
      <w:hyperlink r:id="rId15">
        <w:r>
          <w:rPr>
            <w:b/>
            <w:color w:val="1D5A8A"/>
            <w:u w:val="single"/>
          </w:rPr>
          <w:t>Extended soil-arching analysis for piled embankments with rectangular pile layouts</w:t>
        </w:r>
      </w:hyperlink>
      <w:r>
        <w:t xml:space="preserve"> — Proceedings of the Institution of Civil Engineers - Geotechnical Engineering, 2026-10-21. Extended soil-arching solutions for rectangular pile layouts, with error quantified against the equivalent-square simplification, give designers a more accurate load-transfer method for piled embankments.</w:t>
      </w:r>
    </w:p>
    <w:p>
      <w:pPr>
        <w:pStyle w:val="ListBullet"/>
      </w:pPr>
      <w:hyperlink r:id="rId16">
        <w:r>
          <w:rPr>
            <w:b/>
            <w:color w:val="1D5A8A"/>
            <w:u w:val="single"/>
          </w:rPr>
          <w:t>Stability analysis of geotextile tube tailings dams under inclined stacking: composite failure mechanism and oblique horizontal slice method</w:t>
        </w:r>
      </w:hyperlink>
      <w:r>
        <w:t xml:space="preserve"> — Acta Geotechnica, 2026-10-20. A composite failure mechanism and slice method for geotextile tube tailings dams under inclined stacking provide a stability check that practitioners can use for tailings management.</w:t>
      </w:r>
    </w:p>
    <w:p>
      <w:pPr>
        <w:pStyle w:val="ListBullet"/>
      </w:pPr>
      <w:hyperlink r:id="rId17">
        <w:r>
          <w:rPr>
            <w:b/>
            <w:color w:val="1D5A8A"/>
            <w:u w:val="single"/>
          </w:rPr>
          <w:t>A unified experimental-numerical assessment of Cable, Pile, and Zone solid rockbolt models in FLAC3D: bond-slip, load transfer, and model selection</w:t>
        </w:r>
      </w:hyperlink>
      <w:r>
        <w:t xml:space="preserve"> — Computers and Geotechnics, 2026-10-20. A combined experimental and numerical comparison of FLAC3D rockbolt models helps engineers select the appropriate bolt model and calibrate bond-slip parameters for support design.</w:t>
      </w:r>
    </w:p>
    <w:p>
      <w:pPr>
        <w:pStyle w:val="Heading1"/>
      </w:pPr>
      <w:r>
        <w:rPr>
          <w:color w:val="16324F"/>
        </w:rPr>
        <w:t>9. Issue briefs</w:t>
      </w:r>
    </w:p>
    <w:p>
      <w:r>
        <w:t>Claude drafts a brief for each issue window: a proposed line-up per theme, feature leads, Academia-to-Industry topics, a regional-balance check, gaps worth covering, and the window's developing stories and events.</w:t>
      </w:r>
    </w:p>
    <w:tbl>
      <w:tblPr>
        <w:tblStyle w:val="TableGrid"/>
        <w:tblW w:type="auto" w:w="0"/>
        <w:jc w:val="center"/>
        <w:tblLayout w:type="fixed"/>
        <w:tblLook w:firstColumn="1" w:firstRow="1" w:lastColumn="0" w:lastRow="0" w:noHBand="0" w:noVBand="1" w:val="04A0"/>
      </w:tblPr>
      <w:tblGrid>
        <w:gridCol w:w="1984"/>
        <w:gridCol w:w="1417"/>
        <w:gridCol w:w="2835"/>
        <w:gridCol w:w="3402"/>
      </w:tblGrid>
      <w:tr>
        <w:tc>
          <w:tcPr>
            <w:tcW w:type="dxa" w:w="1984"/>
            <w:shd w:val="clear" w:color="auto" w:fill="16324F"/>
          </w:tcPr>
          <w:p>
            <w:r/>
            <w:r>
              <w:rPr>
                <w:b/>
                <w:color w:val="FFFFFF"/>
                <w:sz w:val="19"/>
              </w:rPr>
              <w:t>Issue window</w:t>
            </w:r>
          </w:p>
        </w:tc>
        <w:tc>
          <w:tcPr>
            <w:tcW w:type="dxa" w:w="1417"/>
            <w:shd w:val="clear" w:color="auto" w:fill="16324F"/>
          </w:tcPr>
          <w:p>
            <w:r/>
            <w:r>
              <w:rPr>
                <w:b/>
                <w:color w:val="FFFFFF"/>
                <w:sz w:val="19"/>
              </w:rPr>
              <w:t>Status</w:t>
            </w:r>
          </w:p>
        </w:tc>
        <w:tc>
          <w:tcPr>
            <w:tcW w:type="dxa" w:w="2835"/>
            <w:shd w:val="clear" w:color="auto" w:fill="16324F"/>
          </w:tcPr>
          <w:p>
            <w:r/>
            <w:r>
              <w:rPr>
                <w:b/>
                <w:color w:val="FFFFFF"/>
                <w:sz w:val="19"/>
              </w:rPr>
              <w:t>Generated (UTC)</w:t>
            </w:r>
          </w:p>
        </w:tc>
        <w:tc>
          <w:tcPr>
            <w:tcW w:type="dxa" w:w="3402"/>
            <w:shd w:val="clear" w:color="auto" w:fill="16324F"/>
          </w:tcPr>
          <w:p>
            <w:r/>
            <w:r>
              <w:rPr>
                <w:b/>
                <w:color w:val="FFFFFF"/>
                <w:sz w:val="19"/>
              </w:rPr>
              <w:t>Drafted from</w:t>
            </w:r>
          </w:p>
        </w:tc>
      </w:tr>
      <w:tr>
        <w:tc>
          <w:tcPr>
            <w:tcW w:type="dxa" w:w="1984"/>
          </w:tcPr>
          <w:p>
            <w:r/>
            <w:r>
              <w:rPr>
                <w:sz w:val="19"/>
              </w:rPr>
              <w:t>2026-Q4</w:t>
            </w:r>
          </w:p>
        </w:tc>
        <w:tc>
          <w:tcPr>
            <w:tcW w:type="dxa" w:w="1417"/>
          </w:tcPr>
          <w:p>
            <w:r/>
            <w:r>
              <w:rPr>
                <w:sz w:val="19"/>
              </w:rPr>
              <w:t>draft</w:t>
            </w:r>
          </w:p>
        </w:tc>
        <w:tc>
          <w:tcPr>
            <w:tcW w:type="dxa" w:w="2835"/>
          </w:tcPr>
          <w:p>
            <w:r/>
            <w:r>
              <w:rPr>
                <w:sz w:val="19"/>
              </w:rPr>
              <w:t>2026-10-24 16:40</w:t>
            </w:r>
          </w:p>
        </w:tc>
        <w:tc>
          <w:tcPr>
            <w:tcW w:type="dxa" w:w="3402"/>
          </w:tcPr>
          <w:p>
            <w:r/>
            <w:r>
              <w:rPr>
                <w:sz w:val="19"/>
              </w:rPr>
              <w:t>60 stories</w:t>
            </w:r>
          </w:p>
        </w:tc>
      </w:tr>
    </w:tbl>
    <w:p/>
    <w:p>
      <w:pPr>
        <w:pStyle w:val="Heading1"/>
      </w:pPr>
      <w:r>
        <w:rPr>
          <w:color w:val="16324F"/>
        </w:rPr>
        <w:t>10. Events calendar</w:t>
      </w:r>
    </w:p>
    <w:p>
      <w:r>
        <w:t>The calendar holds 45 events: 6 from the editors' list (data/events.yaml) and 39 found by the weekly refresh, last refreshed on 25 Oct 2026.</w:t>
      </w:r>
    </w:p>
    <w:p>
      <w:pPr>
        <w:pStyle w:val="Heading2"/>
      </w:pPr>
      <w:r>
        <w:rPr>
          <w:color w:val="23466B"/>
        </w:rPr>
        <w:t>Deadlines in the next 90 days (calls for papers, registration)</w:t>
      </w:r>
    </w:p>
    <w:tbl>
      <w:tblPr>
        <w:tblStyle w:val="TableGrid"/>
        <w:tblW w:type="auto" w:w="0"/>
        <w:jc w:val="center"/>
        <w:tblLayout w:type="fixed"/>
        <w:tblLook w:firstColumn="1" w:firstRow="1" w:lastColumn="0" w:lastRow="0" w:noHBand="0" w:noVBand="1" w:val="04A0"/>
      </w:tblPr>
      <w:tblGrid>
        <w:gridCol w:w="1474"/>
        <w:gridCol w:w="1134"/>
        <w:gridCol w:w="2494"/>
        <w:gridCol w:w="4535"/>
      </w:tblGrid>
      <w:tr>
        <w:tc>
          <w:tcPr>
            <w:tcW w:type="dxa" w:w="1474"/>
            <w:shd w:val="clear" w:color="auto" w:fill="16324F"/>
          </w:tcPr>
          <w:p>
            <w:r/>
            <w:r>
              <w:rPr>
                <w:b/>
                <w:color w:val="FFFFFF"/>
                <w:sz w:val="19"/>
              </w:rPr>
              <w:t>Deadline</w:t>
            </w:r>
          </w:p>
        </w:tc>
        <w:tc>
          <w:tcPr>
            <w:tcW w:type="dxa" w:w="1134"/>
            <w:shd w:val="clear" w:color="auto" w:fill="16324F"/>
          </w:tcPr>
          <w:p>
            <w:r/>
            <w:r>
              <w:rPr>
                <w:b/>
                <w:color w:val="FFFFFF"/>
                <w:sz w:val="19"/>
              </w:rPr>
              <w:t>Days left</w:t>
            </w:r>
          </w:p>
        </w:tc>
        <w:tc>
          <w:tcPr>
            <w:tcW w:type="dxa" w:w="2494"/>
            <w:shd w:val="clear" w:color="auto" w:fill="16324F"/>
          </w:tcPr>
          <w:p>
            <w:r/>
            <w:r>
              <w:rPr>
                <w:b/>
                <w:color w:val="FFFFFF"/>
                <w:sz w:val="19"/>
              </w:rPr>
              <w:t>What is due</w:t>
            </w:r>
          </w:p>
        </w:tc>
        <w:tc>
          <w:tcPr>
            <w:tcW w:type="dxa" w:w="4535"/>
            <w:shd w:val="clear" w:color="auto" w:fill="16324F"/>
          </w:tcPr>
          <w:p>
            <w:r/>
            <w:r>
              <w:rPr>
                <w:b/>
                <w:color w:val="FFFFFF"/>
                <w:sz w:val="19"/>
              </w:rPr>
              <w:t>Event</w:t>
            </w:r>
          </w:p>
        </w:tc>
      </w:tr>
      <w:tr>
        <w:tc>
          <w:tcPr>
            <w:tcW w:type="dxa" w:w="1474"/>
          </w:tcPr>
          <w:p>
            <w:r/>
            <w:r>
              <w:rPr>
                <w:sz w:val="19"/>
              </w:rPr>
              <w:t>11 Dec 2026</w:t>
            </w:r>
          </w:p>
        </w:tc>
        <w:tc>
          <w:tcPr>
            <w:tcW w:type="dxa" w:w="1134"/>
          </w:tcPr>
          <w:p>
            <w:r/>
            <w:r>
              <w:rPr>
                <w:sz w:val="19"/>
              </w:rPr>
              <w:t>47</w:t>
            </w:r>
          </w:p>
        </w:tc>
        <w:tc>
          <w:tcPr>
            <w:tcW w:type="dxa" w:w="2494"/>
          </w:tcPr>
          <w:p>
            <w:r/>
            <w:r>
              <w:rPr>
                <w:sz w:val="19"/>
              </w:rPr>
              <w:t>Notification of accepted abstracts</w:t>
            </w:r>
          </w:p>
        </w:tc>
        <w:tc>
          <w:tcPr>
            <w:tcW w:type="dxa" w:w="4535"/>
          </w:tcPr>
          <w:p>
            <w:r/>
            <w:r>
              <w:rPr>
                <w:sz w:val="19"/>
              </w:rPr>
              <w:t>NUMGE 2027</w:t>
            </w:r>
          </w:p>
        </w:tc>
      </w:tr>
    </w:tbl>
    <w:p/>
    <w:p>
      <w:pPr>
        <w:pStyle w:val="Heading2"/>
      </w:pPr>
      <w:r>
        <w:rPr>
          <w:color w:val="23466B"/>
        </w:rPr>
        <w:t>Events in the next 12 months</w:t>
      </w:r>
    </w:p>
    <w:tbl>
      <w:tblPr>
        <w:tblStyle w:val="TableGrid"/>
        <w:tblW w:type="auto" w:w="0"/>
        <w:jc w:val="center"/>
        <w:tblLayout w:type="fixed"/>
        <w:tblLook w:firstColumn="1" w:firstRow="1" w:lastColumn="0" w:lastRow="0" w:noHBand="0" w:noVBand="1" w:val="04A0"/>
      </w:tblPr>
      <w:tblGrid>
        <w:gridCol w:w="1361"/>
        <w:gridCol w:w="4535"/>
        <w:gridCol w:w="2041"/>
        <w:gridCol w:w="1701"/>
      </w:tblGrid>
      <w:tr>
        <w:tc>
          <w:tcPr>
            <w:tcW w:type="dxa" w:w="1361"/>
            <w:shd w:val="clear" w:color="auto" w:fill="16324F"/>
          </w:tcPr>
          <w:p>
            <w:r/>
            <w:r>
              <w:rPr>
                <w:b/>
                <w:color w:val="FFFFFF"/>
                <w:sz w:val="19"/>
              </w:rPr>
              <w:t>Starts</w:t>
            </w:r>
          </w:p>
        </w:tc>
        <w:tc>
          <w:tcPr>
            <w:tcW w:type="dxa" w:w="4535"/>
            <w:shd w:val="clear" w:color="auto" w:fill="16324F"/>
          </w:tcPr>
          <w:p>
            <w:r/>
            <w:r>
              <w:rPr>
                <w:b/>
                <w:color w:val="FFFFFF"/>
                <w:sz w:val="19"/>
              </w:rPr>
              <w:t>Event</w:t>
            </w:r>
          </w:p>
        </w:tc>
        <w:tc>
          <w:tcPr>
            <w:tcW w:type="dxa" w:w="2041"/>
            <w:shd w:val="clear" w:color="auto" w:fill="16324F"/>
          </w:tcPr>
          <w:p>
            <w:r/>
            <w:r>
              <w:rPr>
                <w:b/>
                <w:color w:val="FFFFFF"/>
                <w:sz w:val="19"/>
              </w:rPr>
              <w:t>Where</w:t>
            </w:r>
          </w:p>
        </w:tc>
        <w:tc>
          <w:tcPr>
            <w:tcW w:type="dxa" w:w="1701"/>
            <w:shd w:val="clear" w:color="auto" w:fill="16324F"/>
          </w:tcPr>
          <w:p>
            <w:r/>
            <w:r>
              <w:rPr>
                <w:b/>
                <w:color w:val="FFFFFF"/>
                <w:sz w:val="19"/>
              </w:rPr>
              <w:t>Kind</w:t>
            </w:r>
          </w:p>
        </w:tc>
      </w:tr>
      <w:tr>
        <w:tc>
          <w:tcPr>
            <w:tcW w:type="dxa" w:w="1361"/>
          </w:tcPr>
          <w:p>
            <w:r/>
            <w:r>
              <w:rPr>
                <w:sz w:val="19"/>
              </w:rPr>
              <w:t>26 Oct 2026</w:t>
            </w:r>
          </w:p>
        </w:tc>
        <w:tc>
          <w:tcPr>
            <w:tcW w:type="dxa" w:w="4535"/>
          </w:tcPr>
          <w:p>
            <w:r/>
            <w:r>
              <w:rPr>
                <w:sz w:val="19"/>
              </w:rPr>
              <w:t>Slope Stability 2026 – Slope for Safety Performance – an ISRM Specialized Conference</w:t>
            </w:r>
          </w:p>
        </w:tc>
        <w:tc>
          <w:tcPr>
            <w:tcW w:type="dxa" w:w="2041"/>
          </w:tcPr>
          <w:p>
            <w:r/>
            <w:r>
              <w:rPr>
                <w:sz w:val="19"/>
              </w:rPr>
              <w:t>Lima, Peru</w:t>
            </w:r>
          </w:p>
        </w:tc>
        <w:tc>
          <w:tcPr>
            <w:tcW w:type="dxa" w:w="1701"/>
          </w:tcPr>
          <w:p>
            <w:r/>
            <w:r>
              <w:rPr>
                <w:sz w:val="19"/>
              </w:rPr>
              <w:t>Other conference</w:t>
            </w:r>
          </w:p>
        </w:tc>
      </w:tr>
      <w:tr>
        <w:tc>
          <w:tcPr>
            <w:tcW w:type="dxa" w:w="1361"/>
            <w:shd w:val="clear" w:color="auto" w:fill="F3F5F7"/>
          </w:tcPr>
          <w:p>
            <w:r/>
            <w:r>
              <w:rPr>
                <w:sz w:val="19"/>
              </w:rPr>
              <w:t>2 Nov 2026</w:t>
            </w:r>
          </w:p>
        </w:tc>
        <w:tc>
          <w:tcPr>
            <w:tcW w:type="dxa" w:w="4535"/>
            <w:shd w:val="clear" w:color="auto" w:fill="F3F5F7"/>
          </w:tcPr>
          <w:p>
            <w:r/>
            <w:r>
              <w:rPr>
                <w:sz w:val="19"/>
              </w:rPr>
              <w:t>DFI's 51st Annual Conference on Deep Foundations</w:t>
            </w:r>
          </w:p>
        </w:tc>
        <w:tc>
          <w:tcPr>
            <w:tcW w:type="dxa" w:w="2041"/>
            <w:shd w:val="clear" w:color="auto" w:fill="F3F5F7"/>
          </w:tcPr>
          <w:p>
            <w:r/>
            <w:r>
              <w:rPr>
                <w:sz w:val="19"/>
              </w:rPr>
              <w:t>Orlando, United States</w:t>
            </w:r>
          </w:p>
        </w:tc>
        <w:tc>
          <w:tcPr>
            <w:tcW w:type="dxa" w:w="1701"/>
            <w:shd w:val="clear" w:color="auto" w:fill="F3F5F7"/>
          </w:tcPr>
          <w:p>
            <w:r/>
            <w:r>
              <w:rPr>
                <w:sz w:val="19"/>
              </w:rPr>
              <w:t>Other conference</w:t>
            </w:r>
          </w:p>
        </w:tc>
      </w:tr>
      <w:tr>
        <w:tc>
          <w:tcPr>
            <w:tcW w:type="dxa" w:w="1361"/>
          </w:tcPr>
          <w:p>
            <w:r/>
            <w:r>
              <w:rPr>
                <w:sz w:val="19"/>
              </w:rPr>
              <w:t>4 Nov 2026</w:t>
            </w:r>
          </w:p>
        </w:tc>
        <w:tc>
          <w:tcPr>
            <w:tcW w:type="dxa" w:w="4535"/>
          </w:tcPr>
          <w:p>
            <w:r/>
            <w:r>
              <w:rPr>
                <w:sz w:val="19"/>
              </w:rPr>
              <w:t>2026 Geotechnical Engineering Proceedings Lecture: Strains in sprayed concrete tunnel linings at Heathrow Terminal 4 and back-calculation of stress</w:t>
            </w:r>
          </w:p>
        </w:tc>
        <w:tc>
          <w:tcPr>
            <w:tcW w:type="dxa" w:w="2041"/>
          </w:tcPr>
          <w:p>
            <w:r/>
            <w:r>
              <w:rPr>
                <w:sz w:val="19"/>
              </w:rPr>
              <w:t>London, United Kingdom</w:t>
            </w:r>
          </w:p>
        </w:tc>
        <w:tc>
          <w:tcPr>
            <w:tcW w:type="dxa" w:w="1701"/>
          </w:tcPr>
          <w:p>
            <w:r/>
            <w:r>
              <w:rPr>
                <w:sz w:val="19"/>
              </w:rPr>
              <w:t>Course / webinar</w:t>
            </w:r>
          </w:p>
        </w:tc>
      </w:tr>
      <w:tr>
        <w:tc>
          <w:tcPr>
            <w:tcW w:type="dxa" w:w="1361"/>
            <w:shd w:val="clear" w:color="auto" w:fill="F3F5F7"/>
          </w:tcPr>
          <w:p>
            <w:r/>
            <w:r>
              <w:rPr>
                <w:sz w:val="19"/>
              </w:rPr>
              <w:t>4 Nov 2026</w:t>
            </w:r>
          </w:p>
        </w:tc>
        <w:tc>
          <w:tcPr>
            <w:tcW w:type="dxa" w:w="4535"/>
            <w:shd w:val="clear" w:color="auto" w:fill="F3F5F7"/>
          </w:tcPr>
          <w:p>
            <w:r/>
            <w:r>
              <w:rPr>
                <w:sz w:val="19"/>
              </w:rPr>
              <w:t>International Conference on Performance-Based Design in Earthquake Geotechnical Engineering</w:t>
            </w:r>
          </w:p>
        </w:tc>
        <w:tc>
          <w:tcPr>
            <w:tcW w:type="dxa" w:w="2041"/>
            <w:shd w:val="clear" w:color="auto" w:fill="F3F5F7"/>
          </w:tcPr>
          <w:p>
            <w:r/>
            <w:r>
              <w:rPr>
                <w:sz w:val="19"/>
              </w:rPr>
              <w:t>Puerto Varas, Chile</w:t>
            </w:r>
          </w:p>
        </w:tc>
        <w:tc>
          <w:tcPr>
            <w:tcW w:type="dxa" w:w="1701"/>
            <w:shd w:val="clear" w:color="auto" w:fill="F3F5F7"/>
          </w:tcPr>
          <w:p>
            <w:r/>
            <w:r>
              <w:rPr>
                <w:sz w:val="19"/>
              </w:rPr>
              <w:t>ISSMGE-supported</w:t>
            </w:r>
          </w:p>
        </w:tc>
      </w:tr>
      <w:tr>
        <w:tc>
          <w:tcPr>
            <w:tcW w:type="dxa" w:w="1361"/>
          </w:tcPr>
          <w:p>
            <w:r/>
            <w:r>
              <w:rPr>
                <w:sz w:val="19"/>
              </w:rPr>
              <w:t>10 Nov 2026</w:t>
            </w:r>
          </w:p>
        </w:tc>
        <w:tc>
          <w:tcPr>
            <w:tcW w:type="dxa" w:w="4535"/>
          </w:tcPr>
          <w:p>
            <w:r/>
            <w:r>
              <w:rPr>
                <w:sz w:val="19"/>
              </w:rPr>
              <w:t>BGA ECG Advanced Laboratory Testing &amp; Dynamic Behaviour of Soils</w:t>
            </w:r>
          </w:p>
        </w:tc>
        <w:tc>
          <w:tcPr>
            <w:tcW w:type="dxa" w:w="2041"/>
          </w:tcPr>
          <w:p>
            <w:r/>
            <w:r>
              <w:rPr>
                <w:sz w:val="19"/>
              </w:rPr>
              <w:t>Online</w:t>
            </w:r>
          </w:p>
        </w:tc>
        <w:tc>
          <w:tcPr>
            <w:tcW w:type="dxa" w:w="1701"/>
          </w:tcPr>
          <w:p>
            <w:r/>
            <w:r>
              <w:rPr>
                <w:sz w:val="19"/>
              </w:rPr>
              <w:t>Course / webinar</w:t>
            </w:r>
          </w:p>
        </w:tc>
      </w:tr>
      <w:tr>
        <w:tc>
          <w:tcPr>
            <w:tcW w:type="dxa" w:w="1361"/>
            <w:shd w:val="clear" w:color="auto" w:fill="F3F5F7"/>
          </w:tcPr>
          <w:p>
            <w:r/>
            <w:r>
              <w:rPr>
                <w:sz w:val="19"/>
              </w:rPr>
              <w:t>10 Nov 2026</w:t>
            </w:r>
          </w:p>
        </w:tc>
        <w:tc>
          <w:tcPr>
            <w:tcW w:type="dxa" w:w="4535"/>
            <w:shd w:val="clear" w:color="auto" w:fill="F3F5F7"/>
          </w:tcPr>
          <w:p>
            <w:r/>
            <w:r>
              <w:rPr>
                <w:sz w:val="19"/>
              </w:rPr>
              <w:t>ITACET Lunchtime Lecture Series #60</w:t>
            </w:r>
          </w:p>
        </w:tc>
        <w:tc>
          <w:tcPr>
            <w:tcW w:type="dxa" w:w="2041"/>
            <w:shd w:val="clear" w:color="auto" w:fill="F3F5F7"/>
          </w:tcPr>
          <w:p>
            <w:r/>
            <w:r>
              <w:rPr>
                <w:sz w:val="19"/>
              </w:rPr>
              <w:t>—</w:t>
            </w:r>
          </w:p>
        </w:tc>
        <w:tc>
          <w:tcPr>
            <w:tcW w:type="dxa" w:w="1701"/>
            <w:shd w:val="clear" w:color="auto" w:fill="F3F5F7"/>
          </w:tcPr>
          <w:p>
            <w:r/>
            <w:r>
              <w:rPr>
                <w:sz w:val="19"/>
              </w:rPr>
              <w:t>Course / webinar</w:t>
            </w:r>
          </w:p>
        </w:tc>
      </w:tr>
      <w:tr>
        <w:tc>
          <w:tcPr>
            <w:tcW w:type="dxa" w:w="1361"/>
          </w:tcPr>
          <w:p>
            <w:r/>
            <w:r>
              <w:rPr>
                <w:sz w:val="19"/>
              </w:rPr>
              <w:t>10 Nov 2026</w:t>
            </w:r>
          </w:p>
        </w:tc>
        <w:tc>
          <w:tcPr>
            <w:tcW w:type="dxa" w:w="4535"/>
          </w:tcPr>
          <w:p>
            <w:r/>
            <w:r>
              <w:rPr>
                <w:sz w:val="19"/>
              </w:rPr>
              <w:t>Woh Hup Distinguished Lecture by Prof. Kenichi Soga</w:t>
            </w:r>
          </w:p>
        </w:tc>
        <w:tc>
          <w:tcPr>
            <w:tcW w:type="dxa" w:w="2041"/>
          </w:tcPr>
          <w:p>
            <w:r/>
            <w:r>
              <w:rPr>
                <w:sz w:val="19"/>
              </w:rPr>
              <w:t>—</w:t>
            </w:r>
          </w:p>
        </w:tc>
        <w:tc>
          <w:tcPr>
            <w:tcW w:type="dxa" w:w="1701"/>
          </w:tcPr>
          <w:p>
            <w:r/>
            <w:r>
              <w:rPr>
                <w:sz w:val="19"/>
              </w:rPr>
              <w:t>Course / webinar</w:t>
            </w:r>
          </w:p>
        </w:tc>
      </w:tr>
      <w:tr>
        <w:tc>
          <w:tcPr>
            <w:tcW w:type="dxa" w:w="1361"/>
            <w:shd w:val="clear" w:color="auto" w:fill="F3F5F7"/>
          </w:tcPr>
          <w:p>
            <w:r/>
            <w:r>
              <w:rPr>
                <w:sz w:val="19"/>
              </w:rPr>
              <w:t>12 Nov 2026</w:t>
            </w:r>
          </w:p>
        </w:tc>
        <w:tc>
          <w:tcPr>
            <w:tcW w:type="dxa" w:w="4535"/>
            <w:shd w:val="clear" w:color="auto" w:fill="F3F5F7"/>
          </w:tcPr>
          <w:p>
            <w:r/>
            <w:r>
              <w:rPr>
                <w:sz w:val="19"/>
              </w:rPr>
              <w:t>10th Conference of the Croatian Geotechnical Society: Geotechnical Engineering in Soft Rocks and Heterogeneous Rock Masses – an ISRM Specialized Conference</w:t>
            </w:r>
          </w:p>
        </w:tc>
        <w:tc>
          <w:tcPr>
            <w:tcW w:type="dxa" w:w="2041"/>
            <w:shd w:val="clear" w:color="auto" w:fill="F3F5F7"/>
          </w:tcPr>
          <w:p>
            <w:r/>
            <w:r>
              <w:rPr>
                <w:sz w:val="19"/>
              </w:rPr>
              <w:t>Split, Croatia</w:t>
            </w:r>
          </w:p>
        </w:tc>
        <w:tc>
          <w:tcPr>
            <w:tcW w:type="dxa" w:w="1701"/>
            <w:shd w:val="clear" w:color="auto" w:fill="F3F5F7"/>
          </w:tcPr>
          <w:p>
            <w:r/>
            <w:r>
              <w:rPr>
                <w:sz w:val="19"/>
              </w:rPr>
              <w:t>Other conference</w:t>
            </w:r>
          </w:p>
        </w:tc>
      </w:tr>
      <w:tr>
        <w:tc>
          <w:tcPr>
            <w:tcW w:type="dxa" w:w="1361"/>
          </w:tcPr>
          <w:p>
            <w:r/>
            <w:r>
              <w:rPr>
                <w:sz w:val="19"/>
              </w:rPr>
              <w:t>12 Nov 2026</w:t>
            </w:r>
          </w:p>
        </w:tc>
        <w:tc>
          <w:tcPr>
            <w:tcW w:type="dxa" w:w="4535"/>
          </w:tcPr>
          <w:p>
            <w:r/>
            <w:r>
              <w:rPr>
                <w:sz w:val="19"/>
              </w:rPr>
              <w:t>Tunnel Turkey 2026</w:t>
            </w:r>
          </w:p>
        </w:tc>
        <w:tc>
          <w:tcPr>
            <w:tcW w:type="dxa" w:w="2041"/>
          </w:tcPr>
          <w:p>
            <w:r/>
            <w:r>
              <w:rPr>
                <w:sz w:val="19"/>
              </w:rPr>
              <w:t>Türkiye</w:t>
            </w:r>
          </w:p>
        </w:tc>
        <w:tc>
          <w:tcPr>
            <w:tcW w:type="dxa" w:w="1701"/>
          </w:tcPr>
          <w:p>
            <w:r/>
            <w:r>
              <w:rPr>
                <w:sz w:val="19"/>
              </w:rPr>
              <w:t>Other conference</w:t>
            </w:r>
          </w:p>
        </w:tc>
      </w:tr>
      <w:tr>
        <w:tc>
          <w:tcPr>
            <w:tcW w:type="dxa" w:w="1361"/>
            <w:shd w:val="clear" w:color="auto" w:fill="F3F5F7"/>
          </w:tcPr>
          <w:p>
            <w:r/>
            <w:r>
              <w:rPr>
                <w:sz w:val="19"/>
              </w:rPr>
              <w:t>17 Nov 2026</w:t>
            </w:r>
          </w:p>
        </w:tc>
        <w:tc>
          <w:tcPr>
            <w:tcW w:type="dxa" w:w="4535"/>
            <w:shd w:val="clear" w:color="auto" w:fill="F3F5F7"/>
          </w:tcPr>
          <w:p>
            <w:r/>
            <w:r>
              <w:rPr>
                <w:sz w:val="19"/>
              </w:rPr>
              <w:t>BGA Touring Lecture – Beyond Automation: Responsible AI Workflows in Geotechnical Modelling and Monitoring</w:t>
            </w:r>
          </w:p>
        </w:tc>
        <w:tc>
          <w:tcPr>
            <w:tcW w:type="dxa" w:w="2041"/>
            <w:shd w:val="clear" w:color="auto" w:fill="F3F5F7"/>
          </w:tcPr>
          <w:p>
            <w:r/>
            <w:r>
              <w:rPr>
                <w:sz w:val="19"/>
              </w:rPr>
              <w:t>Leeds, United Kingdom</w:t>
            </w:r>
          </w:p>
        </w:tc>
        <w:tc>
          <w:tcPr>
            <w:tcW w:type="dxa" w:w="1701"/>
            <w:shd w:val="clear" w:color="auto" w:fill="F3F5F7"/>
          </w:tcPr>
          <w:p>
            <w:r/>
            <w:r>
              <w:rPr>
                <w:sz w:val="19"/>
              </w:rPr>
              <w:t>Course / webinar</w:t>
            </w:r>
          </w:p>
        </w:tc>
      </w:tr>
    </w:tbl>
    <w:p/>
    <w:p>
      <w:pPr>
        <w:pStyle w:val="Heading1"/>
      </w:pPr>
      <w:r>
        <w:rPr>
          <w:color w:val="16324F"/>
        </w:rPr>
        <w:t>11. E-mail alerts and weekly summary</w:t>
      </w:r>
    </w:p>
    <w:p>
      <w:r>
        <w:t>Settings (config.yaml, alerts): an alert after any scan that finds a new story rated 5/5 and the weekly summary every Monday. Whether e-mail is set up (the NOTIFY_TOKEN or SMTP secrets) cannot be seen when this report is made; below is what the news desk recorded as sent.</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Stories alerted (last 60 days)</w:t>
            </w:r>
          </w:p>
        </w:tc>
        <w:tc>
          <w:tcPr>
            <w:tcW w:type="dxa" w:w="5102"/>
          </w:tcPr>
          <w:p>
            <w:r/>
            <w:r>
              <w:rPr>
                <w:sz w:val="19"/>
              </w:rPr>
              <w:t>0</w:t>
            </w:r>
          </w:p>
        </w:tc>
      </w:tr>
      <w:tr>
        <w:tc>
          <w:tcPr>
            <w:tcW w:type="dxa" w:w="4535"/>
            <w:shd w:val="clear" w:color="auto" w:fill="F3F5F7"/>
          </w:tcPr>
          <w:p>
            <w:r/>
            <w:r>
              <w:rPr>
                <w:sz w:val="19"/>
              </w:rPr>
              <w:t>Latest alert</w:t>
            </w:r>
          </w:p>
        </w:tc>
        <w:tc>
          <w:tcPr>
            <w:tcW w:type="dxa" w:w="5102"/>
            <w:shd w:val="clear" w:color="auto" w:fill="F3F5F7"/>
          </w:tcPr>
          <w:p>
            <w:r/>
            <w:r>
              <w:rPr>
                <w:sz w:val="19"/>
              </w:rPr>
              <w:t>none recorded</w:t>
            </w:r>
          </w:p>
        </w:tc>
      </w:tr>
      <w:tr>
        <w:tc>
          <w:tcPr>
            <w:tcW w:type="dxa" w:w="4535"/>
          </w:tcPr>
          <w:p>
            <w:r/>
            <w:r>
              <w:rPr>
                <w:sz w:val="19"/>
              </w:rPr>
              <w:t>Weekly summaries e-mailed</w:t>
            </w:r>
          </w:p>
        </w:tc>
        <w:tc>
          <w:tcPr>
            <w:tcW w:type="dxa" w:w="5102"/>
          </w:tcPr>
          <w:p>
            <w:r/>
            <w:r>
              <w:rPr>
                <w:sz w:val="19"/>
              </w:rPr>
              <w:t>0</w:t>
            </w:r>
          </w:p>
        </w:tc>
      </w:tr>
    </w:tbl>
    <w:p/>
    <w:p>
      <w:r>
        <w:t>No weekly summary has been e-mailed yet. Every week's summary is still on the website (Archive → Weekly summaries).</w:t>
      </w:r>
    </w:p>
    <w:p>
      <w:pPr>
        <w:pStyle w:val="Heading1"/>
      </w:pPr>
      <w:r>
        <w:rPr>
          <w:color w:val="16324F"/>
        </w:rPr>
        <w:t>12. Change log</w:t>
      </w:r>
    </w:p>
    <w:p>
      <w:pPr>
        <w:spacing w:before="160"/>
      </w:pPr>
      <w:r>
        <w:rPr>
          <w:b/>
          <w:color w:val="23466B"/>
        </w:rPr>
        <w:t>2026-10-25 · Copyright-safe outputs</w:t>
      </w:r>
    </w:p>
    <w:p>
      <w:pPr>
        <w:pStyle w:val="ListBullet"/>
      </w:pPr>
      <w:r>
        <w:t>Before you use a story - the magazine's five steps (treat the news item as a lead; check the facts with the primary source; write in your own words with your own angle; quote a sentence or two at most, in quotation marks, naming and linking the publication; use your own images, press-kit photos released for media use, or ask permission) now appear as a one-line note near the top of every digest and issue page (opened with a click), as a section Using the stories: copyright on the Method &amp; sources page, on the Excel Start here sheet, at the foot of the weekly summary e-mail and page and of the alerts, in this report and in each issue brief.</w:t>
      </w:r>
    </w:p>
    <w:p>
      <w:pPr>
        <w:pStyle w:val="ListBullet"/>
      </w:pPr>
      <w:r>
        <w:t>No publisher's text beyond the headline - the scanner still reads the feeds' summaries and the papers' abstracts during the scan, for the keyword score and Claude's reading, but no longer saves them, and the summaries and abstracts already saved in the 24 and 25 October digests were emptied (nothing else in the digests changed; earlier versions of the files in the repository's Git history still hold them). The story cards, search, the Developing stories page, the Excel and CSV files (the Summary and Abstract columns are gone), the e-mails, the issue brief and the AI assistant show Claude's own angle or note instead, or only the headline and source. The website shows no images from the sources.</w:t>
      </w:r>
    </w:p>
    <w:p>
      <w:pPr>
        <w:pStyle w:val="ListBullet"/>
      </w:pPr>
      <w:r>
        <w:t>Primary source to check - Claude's triage now names, for each story it rates, whom to verify the facts with (the authority, the project owner, the company or the body behind the official report, in at most 12 words). It is shown as Check with on story cards and in Search, in the alerts and the weekly summary, as a new column Primary source to check in the CSV and Excel files, in the AI assistant's context and with each story in the issue brief. Stories rated before today have none.</w:t>
      </w:r>
    </w:p>
    <w:p>
      <w:pPr>
        <w:pStyle w:val="ListBullet"/>
      </w:pPr>
      <w:r>
        <w:t>Own words - the triage prompt now says the angle is written in Claude's own words and never copies the headline or summary; translated headlines are labelled English headline translated by Claude, with the original beside them.</w:t>
      </w:r>
    </w:p>
    <w:p>
      <w:pPr>
        <w:pStyle w:val="ListBullet"/>
      </w:pPr>
      <w:r>
        <w:t>AI assistant - strict new rules: answer and draft in its own words from the facts, never reproduce article text, abstracts or paywalled content, quote at most one or two sentences in quotation marks with the publication named and linked, always list sources with links, name the primary source the editor should check, end every draft of a magazine piece with a short Check before publishing list (facts to confirm with the primary source, quotes to verify, image rights), and for images recommend own photos, press-kit photos released for media use or asking permission, never a source's photos, figures or drawings.</w:t>
      </w:r>
    </w:p>
    <w:p>
      <w:pPr>
        <w:pStyle w:val="ListBullet"/>
      </w:pPr>
      <w:r>
        <w:t>Issue brief - Claude follows the same own-words, short-quote, primary-source and image rules, reads each story's primary source with it, and the Word brief shows Check with beside every story in the line-up, feature leads, Academia-to-Industry topics and watch list (also in briefs written earlier, once their stories have one).</w:t>
      </w:r>
    </w:p>
    <w:p>
      <w:pPr>
        <w:spacing w:before="160"/>
      </w:pPr>
      <w:r>
        <w:rPr>
          <w:b/>
          <w:color w:val="23466B"/>
        </w:rPr>
        <w:t>2026-10-25 · At most 5 stories per website</w:t>
      </w:r>
    </w:p>
    <w:p>
      <w:pPr>
        <w:pStyle w:val="ListBullet"/>
      </w:pPr>
      <w:r>
        <w:t>No website may now give more than five stories to a digest (max_per_source in config.yaml; 0 = no limit). Vietnam.vn had supplied 16 of the 60 stories on 24 October and 12 of the 47 on 25 October. A website keeps its five best stories and each place this frees goes to the next story of the same theme; when Claude's translations show that another website reported the same event, its report is kept instead. At most 15 stories from one website now go to Claude, so one website cannot fill Claude's list either. Digests already in the archive are left as they are.</w:t>
      </w:r>
    </w:p>
    <w:p>
      <w:pPr>
        <w:pStyle w:val="ListBullet"/>
      </w:pPr>
      <w:r>
        <w:t>Copies of one story in several languages count once. Vietnam.vn publishes each story in Vietnamese, English, Chinese and other languages, and Google News lists every copy as a separate story; once Claude has translated the headlines, copies whose English headlines match are merged and the best one is kept, also when a second scan on the same day is merged with the morning's digest. Headlines that only share a place, that differ in a place or a number, or that differ only in a keyword (coastal or riverbank erosion in Ca Mau, when Claude's English translations of headlines in different languages are compared), stay separate stories.</w:t>
      </w:r>
    </w:p>
    <w:p>
      <w:pPr>
        <w:spacing w:before="160"/>
      </w:pPr>
      <w:r>
        <w:rPr>
          <w:b/>
          <w:color w:val="23466B"/>
        </w:rPr>
        <w:t>2026-10-25 · Developing stories: Sonnet links, Opus checks the unsure cases</w:t>
      </w:r>
    </w:p>
    <w:p>
      <w:pPr>
        <w:pStyle w:val="ListBullet"/>
      </w:pPr>
      <w:r>
        <w:t>Developing stories are now linked with Claude Sonnet, which also says which cases it is unsure of (two place names in one region, a translated headline that may or may not name the same site, a follow-up whose project name differs). Up to 8 of those per scan are read again by Claude Opus, each against its own closest earlier stories, and its decision stands. If the check fails, Sonnet's reading is kept and the scan notes say why. Settings under storylines (check_model, check_effort, max_checks) in config.yaml; check_model "" turns the check off.</w:t>
      </w:r>
    </w:p>
    <w:p>
      <w:pPr>
        <w:spacing w:before="160"/>
      </w:pPr>
      <w:r>
        <w:rPr>
          <w:b/>
          <w:color w:val="23466B"/>
        </w:rPr>
        <w:t>2026-10-25 · Lower running costs</w:t>
      </w:r>
    </w:p>
    <w:p>
      <w:pPr>
        <w:pStyle w:val="ListBullet"/>
      </w:pPr>
      <w:r>
        <w:t>The AI assistant now starts on Claude Sonnet (half the cost of Opus, still good answers); Opus and Haiku can still be chosen per question.</w:t>
      </w:r>
    </w:p>
    <w:p>
      <w:pPr>
        <w:pStyle w:val="ListBullet"/>
      </w:pPr>
      <w:r>
        <w:t>Developing stories are linked with Claude Haiku, the lowest-cost model, and the events calendar is refreshed every 14 days with Claude Sonnet. The issue brief stays on Claude Opus. The daily scan stays daily. The README lists what each part costs.</w:t>
      </w:r>
    </w:p>
    <w:p>
      <w:pPr>
        <w:spacing w:before="160"/>
      </w:pPr>
      <w:r>
        <w:rPr>
          <w:b/>
          <w:color w:val="23466B"/>
        </w:rPr>
        <w:t>2026-10-25 · Catch-up scans and a cheaper events refresh</w:t>
      </w:r>
    </w:p>
    <w:p>
      <w:pPr>
        <w:pStyle w:val="ListBullet"/>
      </w:pPr>
      <w:r>
        <w:t>The first events calendar refresh ran out of Anthropic credit part-way. A refresh now caps how much of each page Claude reads, uses prompt caching, stops near a spending limit (max_cost_usd, US$3) and has Claude write up the events found so far, keeps its notes when a later step fails, retries the next day when Claude was only busy, and ends its log with the tokens, searches and estimated cost.</w:t>
      </w:r>
    </w:p>
    <w:p>
      <w:pPr>
        <w:pStyle w:val="ListBullet"/>
      </w:pPr>
      <w:r>
        <w:t>GitHub did not start the 05:00 scan on 25 October (it delays scheduled runs at the start of the hour and sometimes drops them). Two catch-up runs, mid-morning and at midday Cairo time, now scan only if the day has no digest yet, so a missed morning scan is made up the same day.</w:t>
      </w:r>
    </w:p>
    <w:p>
      <w:pPr>
        <w:spacing w:before="160"/>
      </w:pPr>
      <w:r>
        <w:rPr>
          <w:b/>
          <w:color w:val="23466B"/>
        </w:rPr>
        <w:t>2026-10-24 · World map, developing stories, events calendar, alerts and weekly summary</w:t>
      </w:r>
    </w:p>
    <w:p>
      <w:pPr>
        <w:pStyle w:val="ListBullet"/>
      </w:pPr>
      <w:r>
        <w:t>World map - Claude now reads the country and the town, region or site of every story during triage (the place of the event, not the outlet), and stories archived earlier are located after each scan. The new World map page shows stories by country for any issue window, the last 30 days or the whole archive, with ISSMGE's six regions and the member-society countries that had no stories. Issue pages, the weekly summaries and this report show the same regional figures.</w:t>
      </w:r>
    </w:p>
    <w:p>
      <w:pPr>
        <w:pStyle w:val="ListBullet"/>
      </w:pPr>
      <w:r>
        <w:t>Developing stories - each scan links a follow-up report to the earlier story about the same event, project or site and names the stage it reports (event, response and recovery, investigation and inquiry, repair and reconstruction, legal and policy, update). The new Developing stories page gives each one a timeline; story cards and search results carry a Developing story chip, and issue pages list the developing stories of the quarter.</w:t>
      </w:r>
    </w:p>
    <w:p>
      <w:pPr>
        <w:pStyle w:val="ListBullet"/>
      </w:pPr>
      <w:r>
        <w:t>Events calendar - a new Events page lists ISSMGE conferences, other conferences and courses with their deadlines (calls for papers, registration), from the editors' list (data/events.yaml, editable on GitHub) and a weekly refresh in which Claude reads ten organiser calendars with web search; the Refresh calendar button refreshes it at any time. It can be subscribed to as a calendar feed (events.ics), and the next deadlines and events appear beside the news on the Latest page and on the current issue page.</w:t>
      </w:r>
    </w:p>
    <w:p>
      <w:pPr>
        <w:pStyle w:val="ListBullet"/>
      </w:pPr>
      <w:r>
        <w:t>Alerts and weekly summary - an e-mail after any scan that finds a new 5/5 story, and every Monday a summary of the past week for the editorial team. E-mail goes out through the AI assistant's Google connector (assistant/bridge.gs, with a NOTIFY_TOKEN) or a mail server. Every week's summary is also a web page, listed on the Archive page, with a Send summary now button.</w:t>
      </w:r>
    </w:p>
    <w:p>
      <w:pPr>
        <w:pStyle w:val="ListBullet"/>
      </w:pPr>
      <w:r>
        <w:t>Linked up across the site - the Latest page has a column beside the news (this week and its summary, upcoming events and deadlines, recently updated developing stories); story cards show where each story happened; the issue brief now lists the quarter's developing stories and the events and deadlines up to six months after it, and Claude uses them for feature leads and the watch list; the Excel workbooks and CSV files have Country, Place and Developing story columns and the workbooks an Events sheet; the AI assistant answers questions about upcoming conferences and the latest on a developing story; this report has new sections on regional coverage, developing stories, the events calendar and the e-mails sent.</w:t>
      </w:r>
    </w:p>
    <w:p>
      <w:pPr>
        <w:pStyle w:val="ListBullet"/>
      </w:pPr>
      <w:r>
        <w:t>The menu has nine pages and stays tidy on every screen (shorter names on tablets, a three-by-three grid on phones). A page that cannot be built is now reported and left out instead of stopping the whole website rebuild.</w:t>
      </w:r>
    </w:p>
    <w:p>
      <w:pPr>
        <w:spacing w:before="160"/>
      </w:pPr>
      <w:r>
        <w:rPr>
          <w:b/>
          <w:color w:val="23466B"/>
        </w:rPr>
        <w:t>2026-10-24 · Issue brief, research papers, fixed sources, five more languages and a Trends page</w:t>
      </w:r>
    </w:p>
    <w:p>
      <w:pPr>
        <w:pStyle w:val="ListBullet"/>
      </w:pPr>
      <w:r>
        <w:t>Issue brief (Word) - for each issue window Claude drafts a brief for the editorial meeting - an overview, a proposed line-up per theme, feature leads with the kinds of experts to approach, Academia-to-Industry topics, a regional-balance check, gaps worth covering and a watch list. Drafts appear in the last 21 days of each quarter and are refreshed weekly, the final brief follows the day after the quarter closes, and Generate / update brief on the issue page starts one at any time.</w:t>
      </w:r>
    </w:p>
    <w:p>
      <w:pPr>
        <w:pStyle w:val="ListBullet"/>
      </w:pPr>
      <w:r>
        <w:t>Research papers - each scan collects new papers from 25 geotechnical journals through Crossref (Géotechnique, Canadian Geotechnical Journal, ASCE JGGE, Soils and Foundations, Acta Geotechnica and others), with a one-line note from Claude on why each matters for practice. They appear under New research on digest and issue pages, in Search, in the Excel Research sheet and in the issue brief.</w:t>
      </w:r>
    </w:p>
    <w:p>
      <w:pPr>
        <w:pStyle w:val="ListBullet"/>
      </w:pPr>
      <w:r>
        <w:t>All 18 failing sources were re-tested from GitHub's network with the new Check feeds workflow. Tunnels &amp; Tunnelling, Rail Technology Magazine and ENR now have working feeds, TunnelTalk is replaced by Tunnelling Journal, Ground Engineering was added, and sites that block automated readers (ISSMGE, ICE, GEER, USGS, GeoEngineer, FHWA, ReliefWeb, Railway Gazette, Rail Business UK, Construction Week, International Construction) are read through Google News searches limited to the site.</w:t>
      </w:r>
    </w:p>
    <w:p>
      <w:pPr>
        <w:pStyle w:val="ListBullet"/>
      </w:pPr>
      <w:r>
        <w:t>Five more languages - Vietnamese, Korean, Russian and Polish Google News editions, Persian through six Persian news sites (Google News has no Persian edition), and Spanish-language editions for Colombia, Chile, Peru and Argentina. About 470 new keywords, with word-stem matching for inflected languages.</w:t>
      </w:r>
    </w:p>
    <w:p>
      <w:pPr>
        <w:pStyle w:val="ListBullet"/>
      </w:pPr>
      <w:r>
        <w:t>Trends page - stories per month and per quarter by theme, theme shares over time, rising keywords, regions, editorial uses, relevance and sources, with hover details, table views and a CSV download.</w:t>
      </w:r>
    </w:p>
    <w:p>
      <w:pPr>
        <w:pStyle w:val="ListBullet"/>
      </w:pPr>
      <w:r>
        <w:t>The Word website report now opens with a summary of what the website does and has sections for research papers and issue briefs.</w:t>
      </w:r>
    </w:p>
    <w:p>
      <w:pPr>
        <w:spacing w:before="160"/>
      </w:pPr>
      <w:r>
        <w:rPr>
          <w:b/>
          <w:color w:val="23466B"/>
        </w:rPr>
        <w:t>2026-10-24 · Balanced digests, same-event merging, interactive Excel workbook</w:t>
      </w:r>
    </w:p>
    <w:p>
      <w:pPr>
        <w:pStyle w:val="ListBullet"/>
      </w:pPr>
      <w:r>
        <w:t>Every digest now spans the magazine's themes. No theme may take more than 30 % of the stories, and themes take turns, so a flood of one kind of story (on 24 October, landslides) can no longer fill the whole digest. A re-scan on the same day re-balances the morning's digest.</w:t>
      </w:r>
    </w:p>
    <w:p>
      <w:pPr>
        <w:pStyle w:val="ListBullet"/>
      </w:pPr>
      <w:r>
        <w:t>Several outlets reporting the same event (for example eight reports of one landslide in Moniquirá, Colombia) are merged into one story.</w:t>
      </w:r>
    </w:p>
    <w:p>
      <w:pPr>
        <w:pStyle w:val="ListBullet"/>
      </w:pPr>
      <w:r>
        <w:t>Chinese, Japanese, Arabic and Hindi headlines are no longer thrown away as false duplicates of each other.</w:t>
      </w:r>
    </w:p>
    <w:p>
      <w:pPr>
        <w:pStyle w:val="ListBullet"/>
      </w:pPr>
      <w:r>
        <w:t>English stories are no longer crowded out by foreign-language results; the language bonus only helps foreign headlines reach Claude.</w:t>
      </w:r>
    </w:p>
    <w:p>
      <w:pPr>
        <w:pStyle w:val="ListBullet"/>
      </w:pPr>
      <w:r>
        <w:t>Keyword false matches removed after review - election "landslides", LNG "liquefaction", market slumps (Italian frana, Chinese 滑坡), insolvencies, pile-ups, building land (German Baugrund) and other false friends - and inflected forms such as tunnelling, frane and Erdrutsche added.</w:t>
      </w:r>
    </w:p>
    <w:p>
      <w:pPr>
        <w:pStyle w:val="ListBullet"/>
      </w:pPr>
      <w:r>
        <w:t>If Anthropic rejects the API key, the digest notes now say why (for example a key that is cut short, an admin key or a subscription token) without showing the key.</w:t>
      </w:r>
    </w:p>
    <w:p>
      <w:pPr>
        <w:pStyle w:val="ListBullet"/>
      </w:pPr>
      <w:r>
        <w:t>The Excel workbooks were redesigned - a Start here sheet, an interactive dashboard whose figures, charts and Top 10 follow dropdown selectors, planning columns (Status, Assigned to, Editor notes), a By theme reading view with collapsible sections, and a Sources sheet.</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13. Open items and recommendations</w:t>
      </w:r>
    </w:p>
    <w:p>
      <w:pPr>
        <w:pStyle w:val="ListBullet"/>
      </w:pPr>
      <w:r>
        <w:t>Set up e-mail: until then no alert or weekly summary is sent (each run's log shows what would have gone out). Paste the new assistant/bridge.gs into the Apps Script project, add the Script property NOTIFY_TOKEN (and MAIL_TO if needed), run testEmail once, deploy a new version, add the same NOTIFY_TOKEN as a GitHub secret, and run the Events calendar and weekly summary workflow with send a test e-mail (README, E-mail alerts and the weekly summary). A mail server (SMTP secrets) also works.</w:t>
      </w:r>
    </w:p>
    <w:p>
      <w:pPr>
        <w:pStyle w:val="ListBullet"/>
      </w:pPr>
      <w:r>
        <w:t>ISSMGE member lists on the world map: the lists for Europe (37 of the 38 societies) and Africa (8 of 13) are incomplete and marked to_check in config.yaml (map: regions). Check them against issmge.org/member-societies, complete them and remove to_check; the map then marks the gaps in those regions correctly.</w:t>
      </w:r>
    </w:p>
    <w:p>
      <w:pPr>
        <w:pStyle w:val="ListBullet"/>
      </w:pPr>
      <w:r>
        <w:t>Events calendar: the weekly refresh needs Anthropic's web search and web fetch tools allowed for the organisation that owns the API key (Claude Console). After the first refresh, read Notes from the last calendar refresh at the foot of the Events page, and add or correct events in data/events.yaml.</w:t>
      </w:r>
    </w:p>
    <w:p>
      <w:pPr>
        <w:pStyle w:val="ListBullet"/>
      </w:pPr>
      <w:r>
        <w:t>Developing stories and locations are suggestions: check a linked report or a story's place at its source before using it. Archived stories are located in batches after each scan, so the map fills in over the first few days.</w:t>
      </w:r>
    </w:p>
    <w:p>
      <w:pPr>
        <w:pStyle w:val="ListBullet"/>
      </w:pPr>
      <w:r>
        <w:t>Check the Source health section after the next scans; any site still failing can be tested with the Check feeds workflow.</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61/jggefk.gteng-15394" TargetMode="External"/><Relationship Id="rId11" Type="http://schemas.openxmlformats.org/officeDocument/2006/relationships/hyperlink" Target="https://doi.org/10.1061/jggefk.gteng-15418" TargetMode="External"/><Relationship Id="rId12" Type="http://schemas.openxmlformats.org/officeDocument/2006/relationships/hyperlink" Target="https://doi.org/10.1016/j.trgeo.2026.102499" TargetMode="External"/><Relationship Id="rId13" Type="http://schemas.openxmlformats.org/officeDocument/2006/relationships/hyperlink" Target="https://doi.org/10.1007/s10346-026-02861-3" TargetMode="External"/><Relationship Id="rId14" Type="http://schemas.openxmlformats.org/officeDocument/2006/relationships/hyperlink" Target="https://doi.org/10.1016/j.sandf.2026.101892" TargetMode="External"/><Relationship Id="rId15" Type="http://schemas.openxmlformats.org/officeDocument/2006/relationships/hyperlink" Target="https://doi.org/10.1680/jgeen.26.00025" TargetMode="External"/><Relationship Id="rId16" Type="http://schemas.openxmlformats.org/officeDocument/2006/relationships/hyperlink" Target="https://doi.org/10.1007/s11440-026-03261-6" TargetMode="External"/><Relationship Id="rId17" Type="http://schemas.openxmlformats.org/officeDocument/2006/relationships/hyperlink" Target="https://doi.org/10.1016/j.compgeo.2026.10875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