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05:58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(03:13 UTC)</w:t>
            </w:r>
          </w:p>
        </w:tc>
      </w:tr>
      <w:tr>
        <w:tc>
          <w:tcPr>
            <w:tcW w:type="dxa" w:w="4535"/>
            <w:shd w:val="clear" w:color="auto" w:fill="F3F5F7"/>
          </w:tcPr>
          <w:p>
            <w:r/>
            <w:r>
              <w:rPr>
                <w:sz w:val="19"/>
              </w:rPr>
              <w:t>Stories in latest digest</w:t>
            </w:r>
          </w:p>
        </w:tc>
        <w:tc>
          <w:tcPr>
            <w:tcW w:type="dxa" w:w="5102"/>
            <w:shd w:val="clear" w:color="auto" w:fill="F3F5F7"/>
          </w:tcPr>
          <w:p>
            <w:r/>
            <w:r>
              <w:rPr>
                <w:sz w:val="19"/>
              </w:rPr>
              <w:t>40</w:t>
            </w:r>
          </w:p>
        </w:tc>
      </w:tr>
      <w:tr>
        <w:tc>
          <w:tcPr>
            <w:tcW w:type="dxa" w:w="4535"/>
          </w:tcPr>
          <w:p>
            <w:r/>
            <w:r>
              <w:rPr>
                <w:sz w:val="19"/>
              </w:rPr>
              <w:t>New items scanned</w:t>
            </w:r>
          </w:p>
        </w:tc>
        <w:tc>
          <w:tcPr>
            <w:tcW w:type="dxa" w:w="5102"/>
          </w:tcPr>
          <w:p>
            <w:r/>
            <w:r>
              <w:rPr>
                <w:sz w:val="19"/>
              </w:rPr>
              <w:t>279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100</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92 of 100</w:t>
            </w:r>
          </w:p>
        </w:tc>
      </w:tr>
      <w:tr>
        <w:tc>
          <w:tcPr>
            <w:tcW w:type="dxa" w:w="4535"/>
          </w:tcPr>
          <w:p>
            <w:r/>
            <w:r>
              <w:rPr>
                <w:sz w:val="19"/>
              </w:rPr>
              <w:t>Developing stories (two or more reports)</w:t>
            </w:r>
          </w:p>
        </w:tc>
        <w:tc>
          <w:tcPr>
            <w:tcW w:type="dxa" w:w="5102"/>
          </w:tcPr>
          <w:p>
            <w:r/>
            <w:r>
              <w:rPr>
                <w:sz w:val="19"/>
              </w:rPr>
              <w:t>6</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40 stories (45%).</w:t>
      </w:r>
    </w:p>
    <w:p>
      <w:pPr>
        <w:spacing w:after="60"/>
      </w:pPr>
      <w:r>
        <w:rPr>
          <w:b/>
          <w:color w:val="5B6573"/>
        </w:rPr>
        <w:t xml:space="preserve">• </w:t>
      </w:r>
      <w:r>
        <w:t>30 different outlets contributed; the most frequent was Vietnam.vn (9 stories).</w:t>
      </w:r>
    </w:p>
    <w:p>
      <w:pPr>
        <w:spacing w:after="60"/>
      </w:pPr>
      <w:r>
        <w:rPr>
          <w:b/>
          <w:color w:val="5B6573"/>
        </w:rPr>
        <w:t xml:space="preserve">• </w:t>
      </w:r>
      <w:r>
        <w:t>33 stories came from non-English Google News editions.</w:t>
      </w:r>
    </w:p>
    <w:p>
      <w:pPr>
        <w:spacing w:after="60"/>
      </w:pPr>
      <w:r>
        <w:rPr>
          <w:b/>
          <w:color w:val="5B6573"/>
        </w:rPr>
        <w:t xml:space="preserve">• </w:t>
      </w:r>
      <w:r>
        <w:t>28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100</w:t>
            </w:r>
          </w:p>
        </w:tc>
        <w:tc>
          <w:tcPr>
            <w:tcW w:type="dxa" w:w="1417"/>
          </w:tcPr>
          <w:p>
            <w:r/>
            <w:r>
              <w:rPr>
                <w:sz w:val="19"/>
              </w:rPr>
              <w:t>11</w:t>
            </w:r>
          </w:p>
        </w:tc>
        <w:tc>
          <w:tcPr>
            <w:tcW w:type="dxa" w:w="1701"/>
          </w:tcPr>
          <w:p>
            <w:r/>
            <w:r>
              <w:rPr>
                <w:sz w:val="19"/>
              </w:rPr>
              <w:t>40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35%</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28</w:t>
            </w:r>
          </w:p>
        </w:tc>
        <w:tc>
          <w:tcPr>
            <w:tcW w:type="dxa" w:w="1417"/>
          </w:tcPr>
          <w:p>
            <w:r/>
            <w:r>
              <w:rPr>
                <w:sz w:val="19"/>
              </w:rPr>
              <w:t>28%</w:t>
            </w:r>
          </w:p>
        </w:tc>
        <w:tc>
          <w:tcPr>
            <w:tcW w:type="dxa" w:w="1701"/>
          </w:tcPr>
          <w:p>
            <w:r/>
            <w:r>
              <w:rPr>
                <w:sz w:val="19"/>
              </w:rPr>
              <w:t>14</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16</w:t>
            </w:r>
          </w:p>
        </w:tc>
        <w:tc>
          <w:tcPr>
            <w:tcW w:type="dxa" w:w="1417"/>
            <w:shd w:val="clear" w:color="auto" w:fill="F3F5F7"/>
          </w:tcPr>
          <w:p>
            <w:r/>
            <w:r>
              <w:rPr>
                <w:sz w:val="19"/>
              </w:rPr>
              <w:t>16%</w:t>
            </w:r>
          </w:p>
        </w:tc>
        <w:tc>
          <w:tcPr>
            <w:tcW w:type="dxa" w:w="1701"/>
            <w:shd w:val="clear" w:color="auto" w:fill="F3F5F7"/>
          </w:tcPr>
          <w:p>
            <w:r/>
            <w:r>
              <w:rPr>
                <w:sz w:val="19"/>
              </w:rPr>
              <w:t>10</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9%</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5</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92 of 100 stories are located in a country of one of ISSMGE's six regions; 8 are global or about several countries and 0 have no location yet. 19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48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12</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13</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17</w:t>
            </w:r>
          </w:p>
        </w:tc>
        <w:tc>
          <w:tcPr>
            <w:tcW w:type="dxa" w:w="1814"/>
            <w:shd w:val="clear" w:color="auto" w:fill="F3F5F7"/>
          </w:tcPr>
          <w:p>
            <w:r/>
            <w:r>
              <w:rPr>
                <w:sz w:val="19"/>
              </w:rPr>
              <w:t>4 of 11</w:t>
            </w:r>
          </w:p>
        </w:tc>
        <w:tc>
          <w:tcPr>
            <w:tcW w:type="dxa" w:w="4989"/>
            <w:shd w:val="clear" w:color="auto" w:fill="F3F5F7"/>
          </w:tcPr>
          <w:p>
            <w:r/>
            <w:r>
              <w:rPr>
                <w:sz w:val="19"/>
              </w:rPr>
              <w:t>Bolivia,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6 developing stories link 13 reports; 6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3</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Aucapán road sinkhole traps ambulance, Argentina (Oct 2026)</w:t>
            </w:r>
          </w:p>
        </w:tc>
        <w:tc>
          <w:tcPr>
            <w:tcW w:type="dxa" w:w="1928"/>
          </w:tcPr>
          <w:p>
            <w:r/>
            <w:r>
              <w:rPr>
                <w:sz w:val="19"/>
              </w:rPr>
              <w:t>Aucapan, Neuquen, Argentina</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Esquina riverfront promenade subsidence, Argentina (Oct 2026)</w:t>
            </w:r>
          </w:p>
        </w:tc>
        <w:tc>
          <w:tcPr>
            <w:tcW w:type="dxa" w:w="1928"/>
            <w:shd w:val="clear" w:color="auto" w:fill="F3F5F7"/>
          </w:tcPr>
          <w:p>
            <w:r/>
            <w:r>
              <w:rPr>
                <w:sz w:val="19"/>
              </w:rPr>
              <w:t>Corrientes costanera, Argentina</w:t>
            </w:r>
          </w:p>
        </w:tc>
        <w:tc>
          <w:tcPr>
            <w:tcW w:type="dxa" w:w="907"/>
            <w:shd w:val="clear" w:color="auto" w:fill="F3F5F7"/>
          </w:tcPr>
          <w:p>
            <w:r/>
            <w:r>
              <w:rPr>
                <w:sz w:val="19"/>
              </w:rPr>
              <w:t>2</w:t>
            </w:r>
          </w:p>
        </w:tc>
        <w:tc>
          <w:tcPr>
            <w:tcW w:type="dxa" w:w="1191"/>
            <w:shd w:val="clear" w:color="auto" w:fill="F3F5F7"/>
          </w:tcPr>
          <w:p>
            <w:r/>
            <w:r>
              <w:rPr>
                <w:sz w:val="19"/>
              </w:rPr>
              <w:t>22 Oct 2026</w:t>
            </w:r>
          </w:p>
        </w:tc>
        <w:tc>
          <w:tcPr>
            <w:tcW w:type="dxa" w:w="1191"/>
            <w:shd w:val="clear" w:color="auto" w:fill="F3F5F7"/>
          </w:tcPr>
          <w:p>
            <w:r/>
            <w:r>
              <w:rPr>
                <w:sz w:val="19"/>
              </w:rPr>
              <w:t>22 Oct 2026</w:t>
            </w:r>
          </w:p>
        </w:tc>
        <w:tc>
          <w:tcPr>
            <w:tcW w:type="dxa" w:w="1361"/>
            <w:shd w:val="clear" w:color="auto" w:fill="F3F5F7"/>
          </w:tcPr>
          <w:p>
            <w:r/>
            <w:r>
              <w:rPr>
                <w:sz w:val="19"/>
              </w:rPr>
              <w:t>Event</w:t>
            </w:r>
          </w:p>
        </w:tc>
      </w:tr>
    </w:tbl>
    <w:p/>
    <w:p>
      <w:pPr>
        <w:pStyle w:val="Heading1"/>
      </w:pPr>
      <w:r>
        <w:rPr>
          <w:color w:val="16324F"/>
        </w:rPr>
        <w:t>8. Research papers (Q4 2026)</w:t>
      </w:r>
    </w:p>
    <w:p>
      <w:r>
        <w:t>22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Engineering Geology</w:t>
            </w:r>
          </w:p>
        </w:tc>
        <w:tc>
          <w:tcPr>
            <w:tcW w:type="dxa" w:w="1701"/>
            <w:shd w:val="clear" w:color="auto" w:fill="F3F5F7"/>
          </w:tcPr>
          <w:p>
            <w:r/>
            <w:r>
              <w:rPr>
                <w:sz w:val="19"/>
              </w:rPr>
              <w:t>3</w:t>
            </w:r>
          </w:p>
        </w:tc>
      </w:tr>
      <w:tr>
        <w:tc>
          <w:tcPr>
            <w:tcW w:type="dxa" w:w="6803"/>
          </w:tcPr>
          <w:p>
            <w:r/>
            <w:r>
              <w:rPr>
                <w:sz w:val="19"/>
              </w:rPr>
              <w:t>Soil Dynamics and Earthquake Engineering</w:t>
            </w:r>
          </w:p>
        </w:tc>
        <w:tc>
          <w:tcPr>
            <w:tcW w:type="dxa" w:w="1701"/>
          </w:tcPr>
          <w:p>
            <w:r/>
            <w:r>
              <w:rPr>
                <w:sz w:val="19"/>
              </w:rPr>
              <w:t>2</w:t>
            </w:r>
          </w:p>
        </w:tc>
      </w:tr>
      <w:tr>
        <w:tc>
          <w:tcPr>
            <w:tcW w:type="dxa" w:w="6803"/>
            <w:shd w:val="clear" w:color="auto" w:fill="F3F5F7"/>
          </w:tcPr>
          <w:p>
            <w:r/>
            <w:r>
              <w:rPr>
                <w:sz w:val="19"/>
              </w:rPr>
              <w:t>Transportation Geotechnics</w:t>
            </w:r>
          </w:p>
        </w:tc>
        <w:tc>
          <w:tcPr>
            <w:tcW w:type="dxa" w:w="1701"/>
            <w:shd w:val="clear" w:color="auto" w:fill="F3F5F7"/>
          </w:tcPr>
          <w:p>
            <w:r/>
            <w:r>
              <w:rPr>
                <w:sz w:val="19"/>
              </w:rPr>
              <w:t>2</w:t>
            </w:r>
          </w:p>
        </w:tc>
      </w:tr>
      <w:tr>
        <w:tc>
          <w:tcPr>
            <w:tcW w:type="dxa" w:w="6803"/>
          </w:tcPr>
          <w:p>
            <w:r/>
            <w:r>
              <w:rPr>
                <w:sz w:val="19"/>
              </w:rPr>
              <w:t>Computers and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6 events: 6 from the editors' list (data/events.yaml) and 0 found by the weekly refresh, which has not run yet (it needs the ANTHROPIC_API_KEY secret and Anthropic's web search and web fetch tools).</w:t>
      </w:r>
    </w:p>
    <w:p>
      <w:r>
        <w:t>No deadline (call for papers, registration) falls in the next 90 days.</w:t>
      </w:r>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1 Mar 2027</w:t>
            </w:r>
          </w:p>
        </w:tc>
        <w:tc>
          <w:tcPr>
            <w:tcW w:type="dxa" w:w="4535"/>
          </w:tcPr>
          <w:p>
            <w:r/>
            <w:r>
              <w:rPr>
                <w:sz w:val="19"/>
              </w:rPr>
              <w:t>Geo-Congress 2027, part of ASCE2027</w:t>
            </w:r>
          </w:p>
        </w:tc>
        <w:tc>
          <w:tcPr>
            <w:tcW w:type="dxa" w:w="2041"/>
          </w:tcPr>
          <w:p>
            <w:r/>
            <w:r>
              <w:rPr>
                <w:sz w:val="19"/>
              </w:rPr>
              <w:t>Philadelphia, United States</w:t>
            </w:r>
          </w:p>
        </w:tc>
        <w:tc>
          <w:tcPr>
            <w:tcW w:type="dxa" w:w="1701"/>
          </w:tcPr>
          <w:p>
            <w:r/>
            <w:r>
              <w:rPr>
                <w:sz w:val="19"/>
              </w:rPr>
              <w:t>Other conference</w:t>
            </w:r>
          </w:p>
        </w:tc>
      </w:tr>
      <w:tr>
        <w:tc>
          <w:tcPr>
            <w:tcW w:type="dxa" w:w="1361"/>
            <w:shd w:val="clear" w:color="auto" w:fill="F3F5F7"/>
          </w:tcPr>
          <w:p>
            <w:r/>
            <w:r>
              <w:rPr>
                <w:sz w:val="19"/>
              </w:rPr>
              <w:t>12 Apr 2027</w:t>
            </w:r>
          </w:p>
        </w:tc>
        <w:tc>
          <w:tcPr>
            <w:tcW w:type="dxa" w:w="4535"/>
            <w:shd w:val="clear" w:color="auto" w:fill="F3F5F7"/>
          </w:tcPr>
          <w:p>
            <w:r/>
            <w:r>
              <w:rPr>
                <w:sz w:val="19"/>
              </w:rPr>
              <w:t>2nd International Symposium on Ground Improvement</w:t>
            </w:r>
          </w:p>
        </w:tc>
        <w:tc>
          <w:tcPr>
            <w:tcW w:type="dxa" w:w="2041"/>
            <w:shd w:val="clear" w:color="auto" w:fill="F3F5F7"/>
          </w:tcPr>
          <w:p>
            <w:r/>
            <w:r>
              <w:rPr>
                <w:sz w:val="19"/>
              </w:rPr>
              <w:t>Lyon, France</w:t>
            </w:r>
          </w:p>
        </w:tc>
        <w:tc>
          <w:tcPr>
            <w:tcW w:type="dxa" w:w="1701"/>
            <w:shd w:val="clear" w:color="auto" w:fill="F3F5F7"/>
          </w:tcPr>
          <w:p>
            <w:r/>
            <w:r>
              <w:rPr>
                <w:sz w:val="19"/>
              </w:rPr>
              <w:t>ISSMGE-supported</w:t>
            </w:r>
          </w:p>
        </w:tc>
      </w:tr>
      <w:tr>
        <w:tc>
          <w:tcPr>
            <w:tcW w:type="dxa" w:w="1361"/>
          </w:tcPr>
          <w:p>
            <w:r/>
            <w:r>
              <w:rPr>
                <w:sz w:val="19"/>
              </w:rPr>
              <w:t>23 Apr 2027</w:t>
            </w:r>
          </w:p>
        </w:tc>
        <w:tc>
          <w:tcPr>
            <w:tcW w:type="dxa" w:w="4535"/>
          </w:tcPr>
          <w:p>
            <w:r/>
            <w:r>
              <w:rPr>
                <w:sz w:val="19"/>
              </w:rPr>
              <w:t>ITA-AITES World Tunnel Congress 2027</w:t>
            </w:r>
          </w:p>
        </w:tc>
        <w:tc>
          <w:tcPr>
            <w:tcW w:type="dxa" w:w="2041"/>
          </w:tcPr>
          <w:p>
            <w:r/>
            <w:r>
              <w:rPr>
                <w:sz w:val="19"/>
              </w:rPr>
              <w:t>Antwerp, Belgium</w:t>
            </w:r>
          </w:p>
        </w:tc>
        <w:tc>
          <w:tcPr>
            <w:tcW w:type="dxa" w:w="1701"/>
          </w:tcPr>
          <w:p>
            <w:r/>
            <w:r>
              <w:rPr>
                <w:sz w:val="19"/>
              </w:rPr>
              <w:t>Other conference</w:t>
            </w:r>
          </w:p>
        </w:tc>
      </w:tr>
      <w:tr>
        <w:tc>
          <w:tcPr>
            <w:tcW w:type="dxa" w:w="1361"/>
            <w:shd w:val="clear" w:color="auto" w:fill="F3F5F7"/>
          </w:tcPr>
          <w:p>
            <w:r/>
            <w:r>
              <w:rPr>
                <w:sz w:val="19"/>
              </w:rPr>
              <w:t>28 Jun 2027</w:t>
            </w:r>
          </w:p>
        </w:tc>
        <w:tc>
          <w:tcPr>
            <w:tcW w:type="dxa" w:w="4535"/>
            <w:shd w:val="clear" w:color="auto" w:fill="F3F5F7"/>
          </w:tcPr>
          <w:p>
            <w:r/>
            <w:r>
              <w:rPr>
                <w:sz w:val="19"/>
              </w:rPr>
              <w:t>International Conference on Sustainability in Geotechnical Engineering</w:t>
            </w:r>
          </w:p>
        </w:tc>
        <w:tc>
          <w:tcPr>
            <w:tcW w:type="dxa" w:w="2041"/>
            <w:shd w:val="clear" w:color="auto" w:fill="F3F5F7"/>
          </w:tcPr>
          <w:p>
            <w:r/>
            <w:r>
              <w:rPr>
                <w:sz w:val="19"/>
              </w:rPr>
              <w:t>Lisbon, Portugal</w:t>
            </w:r>
          </w:p>
        </w:tc>
        <w:tc>
          <w:tcPr>
            <w:tcW w:type="dxa" w:w="1701"/>
            <w:shd w:val="clear" w:color="auto" w:fill="F3F5F7"/>
          </w:tcPr>
          <w:p>
            <w:r/>
            <w:r>
              <w:rPr>
                <w:sz w:val="19"/>
              </w:rPr>
              <w:t>ISSMGE-supported</w:t>
            </w:r>
          </w:p>
        </w:tc>
      </w:tr>
      <w:tr>
        <w:tc>
          <w:tcPr>
            <w:tcW w:type="dxa" w:w="1361"/>
          </w:tcPr>
          <w:p>
            <w:r/>
            <w:r>
              <w:rPr>
                <w:sz w:val="19"/>
              </w:rPr>
              <w:t>14 Sep 2027</w:t>
            </w:r>
          </w:p>
        </w:tc>
        <w:tc>
          <w:tcPr>
            <w:tcW w:type="dxa" w:w="4535"/>
          </w:tcPr>
          <w:p>
            <w:r/>
            <w:r>
              <w:rPr>
                <w:sz w:val="19"/>
              </w:rPr>
              <w:t>9th International Symposium on Deformation Characteristics of Geomaterials</w:t>
            </w:r>
          </w:p>
        </w:tc>
        <w:tc>
          <w:tcPr>
            <w:tcW w:type="dxa" w:w="2041"/>
          </w:tcPr>
          <w:p>
            <w:r/>
            <w:r>
              <w:rPr>
                <w:sz w:val="19"/>
              </w:rPr>
              <w:t>Ankara, Türkiye</w:t>
            </w:r>
          </w:p>
        </w:tc>
        <w:tc>
          <w:tcPr>
            <w:tcW w:type="dxa" w:w="1701"/>
          </w:tcPr>
          <w:p>
            <w:r/>
            <w:r>
              <w:rPr>
                <w:sz w:val="19"/>
              </w:rPr>
              <w:t>ISSMGE-supported</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