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23:27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(16:34 UTC)</w:t>
            </w:r>
          </w:p>
        </w:tc>
      </w:tr>
      <w:tr>
        <w:tc>
          <w:tcPr>
            <w:tcW w:type="dxa" w:w="4535"/>
            <w:shd w:val="clear" w:color="auto" w:fill="F3F5F7"/>
          </w:tcPr>
          <w:p>
            <w:r/>
            <w:r>
              <w:rPr>
                <w:sz w:val="19"/>
              </w:rPr>
              <w:t>Stories in latest digest</w:t>
            </w:r>
          </w:p>
        </w:tc>
        <w:tc>
          <w:tcPr>
            <w:tcW w:type="dxa" w:w="5102"/>
            <w:shd w:val="clear" w:color="auto" w:fill="F3F5F7"/>
          </w:tcPr>
          <w:p>
            <w:r/>
            <w:r>
              <w:rPr>
                <w:sz w:val="19"/>
              </w:rPr>
              <w:t>60</w:t>
            </w:r>
          </w:p>
        </w:tc>
      </w:tr>
      <w:tr>
        <w:tc>
          <w:tcPr>
            <w:tcW w:type="dxa" w:w="4535"/>
          </w:tcPr>
          <w:p>
            <w:r/>
            <w:r>
              <w:rPr>
                <w:sz w:val="19"/>
              </w:rPr>
              <w:t>New items scanned</w:t>
            </w:r>
          </w:p>
        </w:tc>
        <w:tc>
          <w:tcPr>
            <w:tcW w:type="dxa" w:w="5102"/>
          </w:tcPr>
          <w:p>
            <w:r/>
            <w:r>
              <w:rPr>
                <w:sz w:val="19"/>
              </w:rPr>
              <w:t>1499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60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0 of 60</w:t>
            </w:r>
          </w:p>
        </w:tc>
      </w:tr>
      <w:tr>
        <w:tc>
          <w:tcPr>
            <w:tcW w:type="dxa" w:w="4535"/>
          </w:tcPr>
          <w:p>
            <w:r/>
            <w:r>
              <w:rPr>
                <w:sz w:val="19"/>
              </w:rPr>
              <w:t>Developing stories (two or more reports)</w:t>
            </w:r>
          </w:p>
        </w:tc>
        <w:tc>
          <w:tcPr>
            <w:tcW w:type="dxa" w:w="5102"/>
          </w:tcPr>
          <w:p>
            <w:r/>
            <w:r>
              <w:rPr>
                <w:sz w:val="19"/>
              </w:rPr>
              <w:t>0</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call-for-papers deadlines,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8 themes covered; the largest is Infrastructure &amp; the Underground City with 17 of 60 stories (28%).</w:t>
      </w:r>
    </w:p>
    <w:p>
      <w:pPr>
        <w:spacing w:after="60"/>
      </w:pPr>
      <w:r>
        <w:rPr>
          <w:b/>
          <w:color w:val="5B6573"/>
        </w:rPr>
        <w:t xml:space="preserve">• </w:t>
      </w:r>
      <w:r>
        <w:t>41 different outlets contributed; the most frequent was Vietnam.vn (16 stories).</w:t>
      </w:r>
    </w:p>
    <w:p>
      <w:pPr>
        <w:spacing w:after="60"/>
      </w:pPr>
      <w:r>
        <w:rPr>
          <w:b/>
          <w:color w:val="5B6573"/>
        </w:rPr>
        <w:t xml:space="preserve">• </w:t>
      </w:r>
      <w:r>
        <w:t>51 stories came from non-English Google News editions.</w:t>
      </w:r>
    </w:p>
    <w:p>
      <w:pPr>
        <w:spacing w:after="60"/>
      </w:pPr>
      <w:r>
        <w:rPr>
          <w:b/>
          <w:color w:val="5B6573"/>
        </w:rPr>
        <w:t xml:space="preserve">• </w:t>
      </w:r>
      <w:r>
        <w:t>43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60</w:t>
            </w:r>
          </w:p>
        </w:tc>
        <w:tc>
          <w:tcPr>
            <w:tcW w:type="dxa" w:w="1417"/>
          </w:tcPr>
          <w:p>
            <w:r/>
            <w:r>
              <w:rPr>
                <w:sz w:val="19"/>
              </w:rPr>
              <w:t>6</w:t>
            </w:r>
          </w:p>
        </w:tc>
        <w:tc>
          <w:tcPr>
            <w:tcW w:type="dxa" w:w="1701"/>
          </w:tcPr>
          <w:p>
            <w:r/>
            <w:r>
              <w:rPr>
                <w:sz w:val="19"/>
              </w:rPr>
              <w:t>24</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5%</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1</w:t>
            </w:r>
          </w:p>
        </w:tc>
        <w:tc>
          <w:tcPr>
            <w:tcW w:type="dxa" w:w="1417"/>
            <w:shd w:val="clear" w:color="auto" w:fill="F3F5F7"/>
          </w:tcPr>
          <w:p>
            <w:r/>
            <w:r>
              <w:rPr>
                <w:sz w:val="19"/>
              </w:rPr>
              <w:t>2%</w:t>
            </w:r>
          </w:p>
        </w:tc>
        <w:tc>
          <w:tcPr>
            <w:tcW w:type="dxa" w:w="1701"/>
            <w:shd w:val="clear" w:color="auto" w:fill="F3F5F7"/>
          </w:tcPr>
          <w:p>
            <w:r/>
            <w:r>
              <w:rPr>
                <w:sz w:val="19"/>
              </w:rPr>
              <w:t>1</w:t>
            </w:r>
          </w:p>
        </w:tc>
      </w:tr>
      <w:tr>
        <w:tc>
          <w:tcPr>
            <w:tcW w:type="dxa" w:w="4535"/>
            <w:shd w:val="clear" w:color="auto" w:fill="FAE5DF"/>
          </w:tcPr>
          <w:p>
            <w:r/>
            <w:r>
              <w:rPr>
                <w:b/>
                <w:color w:val="E04F2C"/>
                <w:sz w:val="19"/>
              </w:rPr>
              <w:t>Hazards &amp; Resilience</w:t>
            </w:r>
          </w:p>
        </w:tc>
        <w:tc>
          <w:tcPr>
            <w:tcW w:type="dxa" w:w="1417"/>
          </w:tcPr>
          <w:p>
            <w:r/>
            <w:r>
              <w:rPr>
                <w:sz w:val="19"/>
              </w:rPr>
              <w:t>17</w:t>
            </w:r>
          </w:p>
        </w:tc>
        <w:tc>
          <w:tcPr>
            <w:tcW w:type="dxa" w:w="1417"/>
          </w:tcPr>
          <w:p>
            <w:r/>
            <w:r>
              <w:rPr>
                <w:sz w:val="19"/>
              </w:rPr>
              <w:t>28%</w:t>
            </w:r>
          </w:p>
        </w:tc>
        <w:tc>
          <w:tcPr>
            <w:tcW w:type="dxa" w:w="1701"/>
          </w:tcPr>
          <w:p>
            <w:r/>
            <w:r>
              <w:rPr>
                <w:sz w:val="19"/>
              </w:rPr>
              <w:t>17</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3%</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17</w:t>
            </w:r>
          </w:p>
        </w:tc>
        <w:tc>
          <w:tcPr>
            <w:tcW w:type="dxa" w:w="1417"/>
          </w:tcPr>
          <w:p>
            <w:r/>
            <w:r>
              <w:rPr>
                <w:sz w:val="19"/>
              </w:rPr>
              <w:t>28%</w:t>
            </w:r>
          </w:p>
        </w:tc>
        <w:tc>
          <w:tcPr>
            <w:tcW w:type="dxa" w:w="1701"/>
          </w:tcPr>
          <w:p>
            <w:r/>
            <w:r>
              <w:rPr>
                <w:sz w:val="19"/>
              </w:rPr>
              <w:t>10</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10</w:t>
            </w:r>
          </w:p>
        </w:tc>
        <w:tc>
          <w:tcPr>
            <w:tcW w:type="dxa" w:w="1417"/>
            <w:shd w:val="clear" w:color="auto" w:fill="F3F5F7"/>
          </w:tcPr>
          <w:p>
            <w:r/>
            <w:r>
              <w:rPr>
                <w:sz w:val="19"/>
              </w:rPr>
              <w:t>17%</w:t>
            </w:r>
          </w:p>
        </w:tc>
        <w:tc>
          <w:tcPr>
            <w:tcW w:type="dxa" w:w="1701"/>
            <w:shd w:val="clear" w:color="auto" w:fill="F3F5F7"/>
          </w:tcPr>
          <w:p>
            <w:r/>
            <w:r>
              <w:rPr>
                <w:sz w:val="19"/>
              </w:rPr>
              <w:t>7</w:t>
            </w:r>
          </w:p>
        </w:tc>
      </w:tr>
      <w:tr>
        <w:tc>
          <w:tcPr>
            <w:tcW w:type="dxa" w:w="4535"/>
            <w:shd w:val="clear" w:color="auto" w:fill="F6E2EB"/>
          </w:tcPr>
          <w:p>
            <w:r/>
            <w:r>
              <w:rPr>
                <w:b/>
                <w:color w:val="C23D7B"/>
                <w:sz w:val="19"/>
              </w:rPr>
              <w:t>Characterisation &amp; Modelling</w:t>
            </w:r>
          </w:p>
        </w:tc>
        <w:tc>
          <w:tcPr>
            <w:tcW w:type="dxa" w:w="1417"/>
          </w:tcPr>
          <w:p>
            <w:r/>
            <w:r>
              <w:rPr>
                <w:sz w:val="19"/>
              </w:rPr>
              <w:t>6</w:t>
            </w:r>
          </w:p>
        </w:tc>
        <w:tc>
          <w:tcPr>
            <w:tcW w:type="dxa" w:w="1417"/>
          </w:tcPr>
          <w:p>
            <w:r/>
            <w:r>
              <w:rPr>
                <w:sz w:val="19"/>
              </w:rPr>
              <w:t>10%</w:t>
            </w:r>
          </w:p>
        </w:tc>
        <w:tc>
          <w:tcPr>
            <w:tcW w:type="dxa" w:w="1701"/>
          </w:tcPr>
          <w:p>
            <w:r/>
            <w:r>
              <w:rPr>
                <w:sz w:val="19"/>
              </w:rPr>
              <w:t>5</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4</w:t>
            </w:r>
          </w:p>
        </w:tc>
        <w:tc>
          <w:tcPr>
            <w:tcW w:type="dxa" w:w="1417"/>
            <w:shd w:val="clear" w:color="auto" w:fill="F3F5F7"/>
          </w:tcPr>
          <w:p>
            <w:r/>
            <w:r>
              <w:rPr>
                <w:sz w:val="19"/>
              </w:rPr>
              <w:t>7%</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0 of 60 stories are located in a country of one of ISSMGE's six regions; 0 are global or about several countries and 60 have no location yet. 0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0</w:t>
            </w:r>
          </w:p>
        </w:tc>
        <w:tc>
          <w:tcPr>
            <w:tcW w:type="dxa" w:w="1814"/>
            <w:shd w:val="clear" w:color="auto" w:fill="F3F5F7"/>
          </w:tcPr>
          <w:p>
            <w:r/>
            <w:r>
              <w:rPr>
                <w:sz w:val="19"/>
              </w:rPr>
              <w:t>0 of 26</w:t>
            </w:r>
          </w:p>
        </w:tc>
        <w:tc>
          <w:tcPr>
            <w:tcW w:type="dxa" w:w="4989"/>
            <w:shd w:val="clear" w:color="auto" w:fill="F3F5F7"/>
          </w:tcPr>
          <w:p>
            <w:r/>
            <w:r>
              <w:rPr>
                <w:sz w:val="19"/>
              </w:rPr>
              <w:t>Bangladesh, China, Hong Kong, India, Indonesia, Iran, Iraq, Japan, Kazakhstan, Kyrgyzstan, Lebanon, Malaysia, Mongolia, Nepal, Pakistan, Philippines, Singapore, South Korea, Sri Lanka, Syria, Taiwan, Tajikistan, Thailand, United Arab Emirates, Uzbekistan, Vietnam</w:t>
            </w:r>
          </w:p>
        </w:tc>
      </w:tr>
      <w:tr>
        <w:tc>
          <w:tcPr>
            <w:tcW w:type="dxa" w:w="1814"/>
          </w:tcPr>
          <w:p>
            <w:r/>
            <w:r>
              <w:rPr>
                <w:sz w:val="19"/>
              </w:rPr>
              <w:t>Australasia</w:t>
            </w:r>
          </w:p>
        </w:tc>
        <w:tc>
          <w:tcPr>
            <w:tcW w:type="dxa" w:w="1020"/>
          </w:tcPr>
          <w:p>
            <w:r/>
            <w:r>
              <w:rPr>
                <w:sz w:val="19"/>
              </w:rPr>
              <w:t>0</w:t>
            </w:r>
          </w:p>
        </w:tc>
        <w:tc>
          <w:tcPr>
            <w:tcW w:type="dxa" w:w="1814"/>
          </w:tcPr>
          <w:p>
            <w:r/>
            <w:r>
              <w:rPr>
                <w:sz w:val="19"/>
              </w:rPr>
              <w:t>0 of 2</w:t>
            </w:r>
          </w:p>
        </w:tc>
        <w:tc>
          <w:tcPr>
            <w:tcW w:type="dxa" w:w="4989"/>
          </w:tcPr>
          <w:p>
            <w:r/>
            <w:r>
              <w:rPr>
                <w:sz w:val="19"/>
              </w:rPr>
              <w:t>Australia, New Zealand</w:t>
            </w:r>
          </w:p>
        </w:tc>
      </w:tr>
      <w:tr>
        <w:tc>
          <w:tcPr>
            <w:tcW w:type="dxa" w:w="1814"/>
            <w:shd w:val="clear" w:color="auto" w:fill="F3F5F7"/>
          </w:tcPr>
          <w:p>
            <w:r/>
            <w:r>
              <w:rPr>
                <w:sz w:val="19"/>
              </w:rPr>
              <w:t>Europe</w:t>
            </w:r>
          </w:p>
        </w:tc>
        <w:tc>
          <w:tcPr>
            <w:tcW w:type="dxa" w:w="1020"/>
            <w:shd w:val="clear" w:color="auto" w:fill="F3F5F7"/>
          </w:tcPr>
          <w:p>
            <w:r/>
            <w:r>
              <w:rPr>
                <w:sz w:val="19"/>
              </w:rPr>
              <w:t>0</w:t>
            </w:r>
          </w:p>
        </w:tc>
        <w:tc>
          <w:tcPr>
            <w:tcW w:type="dxa" w:w="1814"/>
            <w:shd w:val="clear" w:color="auto" w:fill="F3F5F7"/>
          </w:tcPr>
          <w:p>
            <w:r/>
            <w:r>
              <w:rPr>
                <w:sz w:val="19"/>
              </w:rPr>
              <w:t>0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Italy, Latvia, Lithuania, Netherlands, North Macedonia, Norway, Poland, Portugal, Romania, Russia, Serbia, Slovakia, Slovenia, Spain, Sweden, Switzerland, Türkiye, Ukraine, United Kingdom</w:t>
            </w:r>
          </w:p>
        </w:tc>
      </w:tr>
      <w:tr>
        <w:tc>
          <w:tcPr>
            <w:tcW w:type="dxa" w:w="1814"/>
          </w:tcPr>
          <w:p>
            <w:r/>
            <w:r>
              <w:rPr>
                <w:sz w:val="19"/>
              </w:rPr>
              <w:t>North America</w:t>
            </w:r>
          </w:p>
        </w:tc>
        <w:tc>
          <w:tcPr>
            <w:tcW w:type="dxa" w:w="1020"/>
          </w:tcPr>
          <w:p>
            <w:r/>
            <w:r>
              <w:rPr>
                <w:sz w:val="19"/>
              </w:rPr>
              <w:t>0</w:t>
            </w:r>
          </w:p>
        </w:tc>
        <w:tc>
          <w:tcPr>
            <w:tcW w:type="dxa" w:w="1814"/>
          </w:tcPr>
          <w:p>
            <w:r/>
            <w:r>
              <w:rPr>
                <w:sz w:val="19"/>
              </w:rPr>
              <w:t>0 of 3</w:t>
            </w:r>
          </w:p>
        </w:tc>
        <w:tc>
          <w:tcPr>
            <w:tcW w:type="dxa" w:w="4989"/>
          </w:tcPr>
          <w:p>
            <w:r/>
            <w:r>
              <w:rPr>
                <w:sz w:val="19"/>
              </w:rPr>
              <w:t>Canada, Mexico, United States</w:t>
            </w:r>
          </w:p>
        </w:tc>
      </w:tr>
      <w:tr>
        <w:tc>
          <w:tcPr>
            <w:tcW w:type="dxa" w:w="1814"/>
            <w:shd w:val="clear" w:color="auto" w:fill="F3F5F7"/>
          </w:tcPr>
          <w:p>
            <w:r/>
            <w:r>
              <w:rPr>
                <w:sz w:val="19"/>
              </w:rPr>
              <w:t>South America</w:t>
            </w:r>
          </w:p>
        </w:tc>
        <w:tc>
          <w:tcPr>
            <w:tcW w:type="dxa" w:w="1020"/>
            <w:shd w:val="clear" w:color="auto" w:fill="F3F5F7"/>
          </w:tcPr>
          <w:p>
            <w:r/>
            <w:r>
              <w:rPr>
                <w:sz w:val="19"/>
              </w:rPr>
              <w:t>0</w:t>
            </w:r>
          </w:p>
        </w:tc>
        <w:tc>
          <w:tcPr>
            <w:tcW w:type="dxa" w:w="1814"/>
            <w:shd w:val="clear" w:color="auto" w:fill="F3F5F7"/>
          </w:tcPr>
          <w:p>
            <w:r/>
            <w:r>
              <w:rPr>
                <w:sz w:val="19"/>
              </w:rPr>
              <w:t>0 of 11</w:t>
            </w:r>
          </w:p>
        </w:tc>
        <w:tc>
          <w:tcPr>
            <w:tcW w:type="dxa" w:w="4989"/>
            <w:shd w:val="clear" w:color="auto" w:fill="F3F5F7"/>
          </w:tcPr>
          <w:p>
            <w:r/>
            <w:r>
              <w:rPr>
                <w:sz w:val="19"/>
              </w:rPr>
              <w:t>Argentina, Bolivia, Brazil, Chile, Colombia, Costa Rica, Cuba, Guatemala, Paraguay, Peru,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No developing stories yet: they appear when a new report follows up an earlier story in the archive (an inquiry into a landslide reported last month, for example).</w:t>
      </w:r>
    </w:p>
    <w:p>
      <w:pPr>
        <w:pStyle w:val="Heading1"/>
      </w:pPr>
      <w:r>
        <w:rPr>
          <w:color w:val="16324F"/>
        </w:rPr>
        <w:t>8. Research papers (Q4 2026)</w:t>
      </w:r>
    </w:p>
    <w:p>
      <w:r>
        <w:t>20 new papers from 12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Engineering Geology</w:t>
            </w:r>
          </w:p>
        </w:tc>
        <w:tc>
          <w:tcPr>
            <w:tcW w:type="dxa" w:w="1701"/>
            <w:shd w:val="clear" w:color="auto" w:fill="F3F5F7"/>
          </w:tcPr>
          <w:p>
            <w:r/>
            <w:r>
              <w:rPr>
                <w:sz w:val="19"/>
              </w:rPr>
              <w:t>3</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Computers and Geotechnics</w:t>
            </w:r>
          </w:p>
        </w:tc>
        <w:tc>
          <w:tcPr>
            <w:tcW w:type="dxa" w:w="1701"/>
            <w:shd w:val="clear" w:color="auto" w:fill="F3F5F7"/>
          </w:tcPr>
          <w:p>
            <w:r/>
            <w:r>
              <w:rPr>
                <w:sz w:val="19"/>
              </w:rPr>
              <w:t>2</w:t>
            </w:r>
          </w:p>
        </w:tc>
      </w:tr>
      <w:tr>
        <w:tc>
          <w:tcPr>
            <w:tcW w:type="dxa" w:w="6803"/>
          </w:tcPr>
          <w:p>
            <w:r/>
            <w:r>
              <w:rPr>
                <w:sz w:val="19"/>
              </w:rPr>
              <w:t>Tunnelling and Underground Space Technology</w:t>
            </w:r>
          </w:p>
        </w:tc>
        <w:tc>
          <w:tcPr>
            <w:tcW w:type="dxa" w:w="1701"/>
          </w:tcPr>
          <w:p>
            <w:r/>
            <w:r>
              <w:rPr>
                <w:sz w:val="19"/>
              </w:rPr>
              <w:t>2</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1</w:t>
            </w:r>
          </w:p>
        </w:tc>
      </w:tr>
      <w:tr>
        <w:tc>
          <w:tcPr>
            <w:tcW w:type="dxa" w:w="6803"/>
          </w:tcPr>
          <w:p>
            <w:r/>
            <w:r>
              <w:rPr>
                <w:sz w:val="19"/>
              </w:rPr>
              <w:t>Georisk: Assessment and Management of Risk for Engineered Systems and Geohazards</w:t>
            </w:r>
          </w:p>
        </w:tc>
        <w:tc>
          <w:tcPr>
            <w:tcW w:type="dxa" w:w="1701"/>
          </w:tcPr>
          <w:p>
            <w:r/>
            <w:r>
              <w:rPr>
                <w:sz w:val="19"/>
              </w:rPr>
              <w:t>1</w:t>
            </w:r>
          </w:p>
        </w:tc>
      </w:tr>
      <w:tr>
        <w:tc>
          <w:tcPr>
            <w:tcW w:type="dxa" w:w="6803"/>
            <w:shd w:val="clear" w:color="auto" w:fill="F3F5F7"/>
          </w:tcPr>
          <w:p>
            <w:r/>
            <w:r>
              <w:rPr>
                <w:sz w:val="19"/>
              </w:rPr>
              <w:t>Underground Space</w:t>
            </w:r>
          </w:p>
        </w:tc>
        <w:tc>
          <w:tcPr>
            <w:tcW w:type="dxa" w:w="1701"/>
            <w:shd w:val="clear" w:color="auto" w:fill="F3F5F7"/>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6 events: 6 from the editors' list (data/events.yaml) and 0 found by the weekly refresh, which has not run yet (it needs the ANTHROPIC_API_KEY secret and Anthropic's web search and web fetch tools).</w:t>
      </w:r>
    </w:p>
    <w:p>
      <w:r>
        <w:t>No call-for-papers deadline falls in the next 90 days.</w:t>
      </w:r>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1 Mar 2027</w:t>
            </w:r>
          </w:p>
        </w:tc>
        <w:tc>
          <w:tcPr>
            <w:tcW w:type="dxa" w:w="4535"/>
          </w:tcPr>
          <w:p>
            <w:r/>
            <w:r>
              <w:rPr>
                <w:sz w:val="19"/>
              </w:rPr>
              <w:t>Geo-Congress 2027, part of ASCE2027</w:t>
            </w:r>
          </w:p>
        </w:tc>
        <w:tc>
          <w:tcPr>
            <w:tcW w:type="dxa" w:w="2041"/>
          </w:tcPr>
          <w:p>
            <w:r/>
            <w:r>
              <w:rPr>
                <w:sz w:val="19"/>
              </w:rPr>
              <w:t>Philadelphia, United States</w:t>
            </w:r>
          </w:p>
        </w:tc>
        <w:tc>
          <w:tcPr>
            <w:tcW w:type="dxa" w:w="1701"/>
          </w:tcPr>
          <w:p>
            <w:r/>
            <w:r>
              <w:rPr>
                <w:sz w:val="19"/>
              </w:rPr>
              <w:t>Other conference</w:t>
            </w:r>
          </w:p>
        </w:tc>
      </w:tr>
      <w:tr>
        <w:tc>
          <w:tcPr>
            <w:tcW w:type="dxa" w:w="1361"/>
            <w:shd w:val="clear" w:color="auto" w:fill="F3F5F7"/>
          </w:tcPr>
          <w:p>
            <w:r/>
            <w:r>
              <w:rPr>
                <w:sz w:val="19"/>
              </w:rPr>
              <w:t>12 Apr 2027</w:t>
            </w:r>
          </w:p>
        </w:tc>
        <w:tc>
          <w:tcPr>
            <w:tcW w:type="dxa" w:w="4535"/>
            <w:shd w:val="clear" w:color="auto" w:fill="F3F5F7"/>
          </w:tcPr>
          <w:p>
            <w:r/>
            <w:r>
              <w:rPr>
                <w:sz w:val="19"/>
              </w:rPr>
              <w:t>2nd International Symposium on Ground Improvement</w:t>
            </w:r>
          </w:p>
        </w:tc>
        <w:tc>
          <w:tcPr>
            <w:tcW w:type="dxa" w:w="2041"/>
            <w:shd w:val="clear" w:color="auto" w:fill="F3F5F7"/>
          </w:tcPr>
          <w:p>
            <w:r/>
            <w:r>
              <w:rPr>
                <w:sz w:val="19"/>
              </w:rPr>
              <w:t>Lyon, France</w:t>
            </w:r>
          </w:p>
        </w:tc>
        <w:tc>
          <w:tcPr>
            <w:tcW w:type="dxa" w:w="1701"/>
            <w:shd w:val="clear" w:color="auto" w:fill="F3F5F7"/>
          </w:tcPr>
          <w:p>
            <w:r/>
            <w:r>
              <w:rPr>
                <w:sz w:val="19"/>
              </w:rPr>
              <w:t>ISSMGE-supported</w:t>
            </w:r>
          </w:p>
        </w:tc>
      </w:tr>
      <w:tr>
        <w:tc>
          <w:tcPr>
            <w:tcW w:type="dxa" w:w="1361"/>
          </w:tcPr>
          <w:p>
            <w:r/>
            <w:r>
              <w:rPr>
                <w:sz w:val="19"/>
              </w:rPr>
              <w:t>23 Apr 2027</w:t>
            </w:r>
          </w:p>
        </w:tc>
        <w:tc>
          <w:tcPr>
            <w:tcW w:type="dxa" w:w="4535"/>
          </w:tcPr>
          <w:p>
            <w:r/>
            <w:r>
              <w:rPr>
                <w:sz w:val="19"/>
              </w:rPr>
              <w:t>ITA-AITES World Tunnel Congress 2027</w:t>
            </w:r>
          </w:p>
        </w:tc>
        <w:tc>
          <w:tcPr>
            <w:tcW w:type="dxa" w:w="2041"/>
          </w:tcPr>
          <w:p>
            <w:r/>
            <w:r>
              <w:rPr>
                <w:sz w:val="19"/>
              </w:rPr>
              <w:t>Antwerp, Belgium</w:t>
            </w:r>
          </w:p>
        </w:tc>
        <w:tc>
          <w:tcPr>
            <w:tcW w:type="dxa" w:w="1701"/>
          </w:tcPr>
          <w:p>
            <w:r/>
            <w:r>
              <w:rPr>
                <w:sz w:val="19"/>
              </w:rPr>
              <w:t>Other conference</w:t>
            </w:r>
          </w:p>
        </w:tc>
      </w:tr>
      <w:tr>
        <w:tc>
          <w:tcPr>
            <w:tcW w:type="dxa" w:w="1361"/>
            <w:shd w:val="clear" w:color="auto" w:fill="F3F5F7"/>
          </w:tcPr>
          <w:p>
            <w:r/>
            <w:r>
              <w:rPr>
                <w:sz w:val="19"/>
              </w:rPr>
              <w:t>28 Jun 2027</w:t>
            </w:r>
          </w:p>
        </w:tc>
        <w:tc>
          <w:tcPr>
            <w:tcW w:type="dxa" w:w="4535"/>
            <w:shd w:val="clear" w:color="auto" w:fill="F3F5F7"/>
          </w:tcPr>
          <w:p>
            <w:r/>
            <w:r>
              <w:rPr>
                <w:sz w:val="19"/>
              </w:rPr>
              <w:t>International Conference on Sustainability in Geotechnical Engineering</w:t>
            </w:r>
          </w:p>
        </w:tc>
        <w:tc>
          <w:tcPr>
            <w:tcW w:type="dxa" w:w="2041"/>
            <w:shd w:val="clear" w:color="auto" w:fill="F3F5F7"/>
          </w:tcPr>
          <w:p>
            <w:r/>
            <w:r>
              <w:rPr>
                <w:sz w:val="19"/>
              </w:rPr>
              <w:t>Lisbon, Portugal</w:t>
            </w:r>
          </w:p>
        </w:tc>
        <w:tc>
          <w:tcPr>
            <w:tcW w:type="dxa" w:w="1701"/>
            <w:shd w:val="clear" w:color="auto" w:fill="F3F5F7"/>
          </w:tcPr>
          <w:p>
            <w:r/>
            <w:r>
              <w:rPr>
                <w:sz w:val="19"/>
              </w:rPr>
              <w:t>ISSMGE-supported</w:t>
            </w:r>
          </w:p>
        </w:tc>
      </w:tr>
      <w:tr>
        <w:tc>
          <w:tcPr>
            <w:tcW w:type="dxa" w:w="1361"/>
          </w:tcPr>
          <w:p>
            <w:r/>
            <w:r>
              <w:rPr>
                <w:sz w:val="19"/>
              </w:rPr>
              <w:t>14 Sep 2027</w:t>
            </w:r>
          </w:p>
        </w:tc>
        <w:tc>
          <w:tcPr>
            <w:tcW w:type="dxa" w:w="4535"/>
          </w:tcPr>
          <w:p>
            <w:r/>
            <w:r>
              <w:rPr>
                <w:sz w:val="19"/>
              </w:rPr>
              <w:t>9th International Symposium on Deformation Characteristics of Geomaterials</w:t>
            </w:r>
          </w:p>
        </w:tc>
        <w:tc>
          <w:tcPr>
            <w:tcW w:type="dxa" w:w="2041"/>
          </w:tcPr>
          <w:p>
            <w:r/>
            <w:r>
              <w:rPr>
                <w:sz w:val="19"/>
              </w:rPr>
              <w:t>Ankara, Türkiye</w:t>
            </w:r>
          </w:p>
        </w:tc>
        <w:tc>
          <w:tcPr>
            <w:tcW w:type="dxa" w:w="1701"/>
          </w:tcPr>
          <w:p>
            <w:r/>
            <w:r>
              <w:rPr>
                <w:sz w:val="19"/>
              </w:rPr>
              <w:t>ISSMGE-supported</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call-for-papers deadlines,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