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25 October 2026, 01:47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(16:34 UTC)</w:t>
            </w:r>
          </w:p>
        </w:tc>
      </w:tr>
      <w:tr>
        <w:tc>
          <w:tcPr>
            <w:tcW w:type="dxa" w:w="4535"/>
            <w:shd w:val="clear" w:color="auto" w:fill="F3F5F7"/>
          </w:tcPr>
          <w:p>
            <w:r/>
            <w:r>
              <w:rPr>
                <w:sz w:val="19"/>
              </w:rPr>
              <w:t>Stories in latest digest</w:t>
            </w:r>
          </w:p>
        </w:tc>
        <w:tc>
          <w:tcPr>
            <w:tcW w:type="dxa" w:w="5102"/>
            <w:shd w:val="clear" w:color="auto" w:fill="F3F5F7"/>
          </w:tcPr>
          <w:p>
            <w:r/>
            <w:r>
              <w:rPr>
                <w:sz w:val="19"/>
              </w:rPr>
              <w:t>60</w:t>
            </w:r>
          </w:p>
        </w:tc>
      </w:tr>
      <w:tr>
        <w:tc>
          <w:tcPr>
            <w:tcW w:type="dxa" w:w="4535"/>
          </w:tcPr>
          <w:p>
            <w:r/>
            <w:r>
              <w:rPr>
                <w:sz w:val="19"/>
              </w:rPr>
              <w:t>New items scanned</w:t>
            </w:r>
          </w:p>
        </w:tc>
        <w:tc>
          <w:tcPr>
            <w:tcW w:type="dxa" w:w="5102"/>
          </w:tcPr>
          <w:p>
            <w:r/>
            <w:r>
              <w:rPr>
                <w:sz w:val="19"/>
              </w:rPr>
              <w:t>1499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60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0 of 60</w:t>
            </w:r>
          </w:p>
        </w:tc>
      </w:tr>
      <w:tr>
        <w:tc>
          <w:tcPr>
            <w:tcW w:type="dxa" w:w="4535"/>
          </w:tcPr>
          <w:p>
            <w:r/>
            <w:r>
              <w:rPr>
                <w:sz w:val="19"/>
              </w:rPr>
              <w:t>Developing stories (two or more reports)</w:t>
            </w:r>
          </w:p>
        </w:tc>
        <w:tc>
          <w:tcPr>
            <w:tcW w:type="dxa" w:w="5102"/>
          </w:tcPr>
          <w:p>
            <w:r/>
            <w:r>
              <w:rPr>
                <w:sz w:val="19"/>
              </w:rPr>
              <w:t>0</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several outlets reporting the same event are merged into one story.</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8 themes covered; the largest is Infrastructure &amp; the Underground City with 17 of 60 stories (28%).</w:t>
      </w:r>
    </w:p>
    <w:p>
      <w:pPr>
        <w:spacing w:after="60"/>
      </w:pPr>
      <w:r>
        <w:rPr>
          <w:b/>
          <w:color w:val="5B6573"/>
        </w:rPr>
        <w:t xml:space="preserve">• </w:t>
      </w:r>
      <w:r>
        <w:t>41 different outlets contributed; the most frequent was Vietnam.vn (16 stories).</w:t>
      </w:r>
    </w:p>
    <w:p>
      <w:pPr>
        <w:spacing w:after="60"/>
      </w:pPr>
      <w:r>
        <w:rPr>
          <w:b/>
          <w:color w:val="5B6573"/>
        </w:rPr>
        <w:t xml:space="preserve">• </w:t>
      </w:r>
      <w:r>
        <w:t>51 stories came from non-English Google News editions.</w:t>
      </w:r>
    </w:p>
    <w:p>
      <w:pPr>
        <w:spacing w:after="60"/>
      </w:pPr>
      <w:r>
        <w:rPr>
          <w:b/>
          <w:color w:val="5B6573"/>
        </w:rPr>
        <w:t xml:space="preserve">• </w:t>
      </w:r>
      <w:r>
        <w:t>43 stories were rated 4 or 5 out of 5.</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60</w:t>
            </w:r>
          </w:p>
        </w:tc>
        <w:tc>
          <w:tcPr>
            <w:tcW w:type="dxa" w:w="1417"/>
          </w:tcPr>
          <w:p>
            <w:r/>
            <w:r>
              <w:rPr>
                <w:sz w:val="19"/>
              </w:rPr>
              <w:t>6</w:t>
            </w:r>
          </w:p>
        </w:tc>
        <w:tc>
          <w:tcPr>
            <w:tcW w:type="dxa" w:w="1701"/>
          </w:tcPr>
          <w:p>
            <w:r/>
            <w:r>
              <w:rPr>
                <w:sz w:val="19"/>
              </w:rPr>
              <w:t>24</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5%</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1</w:t>
            </w:r>
          </w:p>
        </w:tc>
        <w:tc>
          <w:tcPr>
            <w:tcW w:type="dxa" w:w="1417"/>
            <w:shd w:val="clear" w:color="auto" w:fill="F3F5F7"/>
          </w:tcPr>
          <w:p>
            <w:r/>
            <w:r>
              <w:rPr>
                <w:sz w:val="19"/>
              </w:rPr>
              <w:t>2%</w:t>
            </w:r>
          </w:p>
        </w:tc>
        <w:tc>
          <w:tcPr>
            <w:tcW w:type="dxa" w:w="1701"/>
            <w:shd w:val="clear" w:color="auto" w:fill="F3F5F7"/>
          </w:tcPr>
          <w:p>
            <w:r/>
            <w:r>
              <w:rPr>
                <w:sz w:val="19"/>
              </w:rPr>
              <w:t>1</w:t>
            </w:r>
          </w:p>
        </w:tc>
      </w:tr>
      <w:tr>
        <w:tc>
          <w:tcPr>
            <w:tcW w:type="dxa" w:w="4535"/>
            <w:shd w:val="clear" w:color="auto" w:fill="FAE5DF"/>
          </w:tcPr>
          <w:p>
            <w:r/>
            <w:r>
              <w:rPr>
                <w:b/>
                <w:color w:val="E04F2C"/>
                <w:sz w:val="19"/>
              </w:rPr>
              <w:t>Hazards &amp; Resilience</w:t>
            </w:r>
          </w:p>
        </w:tc>
        <w:tc>
          <w:tcPr>
            <w:tcW w:type="dxa" w:w="1417"/>
          </w:tcPr>
          <w:p>
            <w:r/>
            <w:r>
              <w:rPr>
                <w:sz w:val="19"/>
              </w:rPr>
              <w:t>17</w:t>
            </w:r>
          </w:p>
        </w:tc>
        <w:tc>
          <w:tcPr>
            <w:tcW w:type="dxa" w:w="1417"/>
          </w:tcPr>
          <w:p>
            <w:r/>
            <w:r>
              <w:rPr>
                <w:sz w:val="19"/>
              </w:rPr>
              <w:t>28%</w:t>
            </w:r>
          </w:p>
        </w:tc>
        <w:tc>
          <w:tcPr>
            <w:tcW w:type="dxa" w:w="1701"/>
          </w:tcPr>
          <w:p>
            <w:r/>
            <w:r>
              <w:rPr>
                <w:sz w:val="19"/>
              </w:rPr>
              <w:t>17</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3%</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17</w:t>
            </w:r>
          </w:p>
        </w:tc>
        <w:tc>
          <w:tcPr>
            <w:tcW w:type="dxa" w:w="1417"/>
          </w:tcPr>
          <w:p>
            <w:r/>
            <w:r>
              <w:rPr>
                <w:sz w:val="19"/>
              </w:rPr>
              <w:t>28%</w:t>
            </w:r>
          </w:p>
        </w:tc>
        <w:tc>
          <w:tcPr>
            <w:tcW w:type="dxa" w:w="1701"/>
          </w:tcPr>
          <w:p>
            <w:r/>
            <w:r>
              <w:rPr>
                <w:sz w:val="19"/>
              </w:rPr>
              <w:t>10</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10</w:t>
            </w:r>
          </w:p>
        </w:tc>
        <w:tc>
          <w:tcPr>
            <w:tcW w:type="dxa" w:w="1417"/>
            <w:shd w:val="clear" w:color="auto" w:fill="F3F5F7"/>
          </w:tcPr>
          <w:p>
            <w:r/>
            <w:r>
              <w:rPr>
                <w:sz w:val="19"/>
              </w:rPr>
              <w:t>17%</w:t>
            </w:r>
          </w:p>
        </w:tc>
        <w:tc>
          <w:tcPr>
            <w:tcW w:type="dxa" w:w="1701"/>
            <w:shd w:val="clear" w:color="auto" w:fill="F3F5F7"/>
          </w:tcPr>
          <w:p>
            <w:r/>
            <w:r>
              <w:rPr>
                <w:sz w:val="19"/>
              </w:rPr>
              <w:t>7</w:t>
            </w:r>
          </w:p>
        </w:tc>
      </w:tr>
      <w:tr>
        <w:tc>
          <w:tcPr>
            <w:tcW w:type="dxa" w:w="4535"/>
            <w:shd w:val="clear" w:color="auto" w:fill="F6E2EB"/>
          </w:tcPr>
          <w:p>
            <w:r/>
            <w:r>
              <w:rPr>
                <w:b/>
                <w:color w:val="C23D7B"/>
                <w:sz w:val="19"/>
              </w:rPr>
              <w:t>Characterisation &amp; Modelling</w:t>
            </w:r>
          </w:p>
        </w:tc>
        <w:tc>
          <w:tcPr>
            <w:tcW w:type="dxa" w:w="1417"/>
          </w:tcPr>
          <w:p>
            <w:r/>
            <w:r>
              <w:rPr>
                <w:sz w:val="19"/>
              </w:rPr>
              <w:t>6</w:t>
            </w:r>
          </w:p>
        </w:tc>
        <w:tc>
          <w:tcPr>
            <w:tcW w:type="dxa" w:w="1417"/>
          </w:tcPr>
          <w:p>
            <w:r/>
            <w:r>
              <w:rPr>
                <w:sz w:val="19"/>
              </w:rPr>
              <w:t>10%</w:t>
            </w:r>
          </w:p>
        </w:tc>
        <w:tc>
          <w:tcPr>
            <w:tcW w:type="dxa" w:w="1701"/>
          </w:tcPr>
          <w:p>
            <w:r/>
            <w:r>
              <w:rPr>
                <w:sz w:val="19"/>
              </w:rPr>
              <w:t>5</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4</w:t>
            </w:r>
          </w:p>
        </w:tc>
        <w:tc>
          <w:tcPr>
            <w:tcW w:type="dxa" w:w="1417"/>
            <w:shd w:val="clear" w:color="auto" w:fill="F3F5F7"/>
          </w:tcPr>
          <w:p>
            <w:r/>
            <w:r>
              <w:rPr>
                <w:sz w:val="19"/>
              </w:rPr>
              <w:t>7%</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0 of 60 stories are located in a country of one of ISSMGE's six regions; 0 are global or about several countries and 60 have no location yet. No story is located in a country yet, so no member-society country is counted as a gap.</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 of 8</w:t>
            </w:r>
          </w:p>
        </w:tc>
        <w:tc>
          <w:tcPr>
            <w:tcW w:type="dxa" w:w="4989"/>
          </w:tcPr>
          <w:p>
            <w:r/>
            <w:r>
              <w:rPr>
                <w:sz w:val="19"/>
              </w:rPr>
              <w:t>Shown once stories are located</w:t>
            </w:r>
          </w:p>
        </w:tc>
      </w:tr>
      <w:tr>
        <w:tc>
          <w:tcPr>
            <w:tcW w:type="dxa" w:w="1814"/>
            <w:shd w:val="clear" w:color="auto" w:fill="F3F5F7"/>
          </w:tcPr>
          <w:p>
            <w:r/>
            <w:r>
              <w:rPr>
                <w:sz w:val="19"/>
              </w:rPr>
              <w:t>Asia</w:t>
            </w:r>
          </w:p>
        </w:tc>
        <w:tc>
          <w:tcPr>
            <w:tcW w:type="dxa" w:w="1020"/>
            <w:shd w:val="clear" w:color="auto" w:fill="F3F5F7"/>
          </w:tcPr>
          <w:p>
            <w:r/>
            <w:r>
              <w:rPr>
                <w:sz w:val="19"/>
              </w:rPr>
              <w:t>0</w:t>
            </w:r>
          </w:p>
        </w:tc>
        <w:tc>
          <w:tcPr>
            <w:tcW w:type="dxa" w:w="1814"/>
            <w:shd w:val="clear" w:color="auto" w:fill="F3F5F7"/>
          </w:tcPr>
          <w:p>
            <w:r/>
            <w:r>
              <w:rPr>
                <w:sz w:val="19"/>
              </w:rPr>
              <w:t>– of 26</w:t>
            </w:r>
          </w:p>
        </w:tc>
        <w:tc>
          <w:tcPr>
            <w:tcW w:type="dxa" w:w="4989"/>
            <w:shd w:val="clear" w:color="auto" w:fill="F3F5F7"/>
          </w:tcPr>
          <w:p>
            <w:r/>
            <w:r>
              <w:rPr>
                <w:sz w:val="19"/>
              </w:rPr>
              <w:t>Shown once stories are located</w:t>
            </w:r>
          </w:p>
        </w:tc>
      </w:tr>
      <w:tr>
        <w:tc>
          <w:tcPr>
            <w:tcW w:type="dxa" w:w="1814"/>
          </w:tcPr>
          <w:p>
            <w:r/>
            <w:r>
              <w:rPr>
                <w:sz w:val="19"/>
              </w:rPr>
              <w:t>Australasia</w:t>
            </w:r>
          </w:p>
        </w:tc>
        <w:tc>
          <w:tcPr>
            <w:tcW w:type="dxa" w:w="1020"/>
          </w:tcPr>
          <w:p>
            <w:r/>
            <w:r>
              <w:rPr>
                <w:sz w:val="19"/>
              </w:rPr>
              <w:t>0</w:t>
            </w:r>
          </w:p>
        </w:tc>
        <w:tc>
          <w:tcPr>
            <w:tcW w:type="dxa" w:w="1814"/>
          </w:tcPr>
          <w:p>
            <w:r/>
            <w:r>
              <w:rPr>
                <w:sz w:val="19"/>
              </w:rPr>
              <w:t>– of 2</w:t>
            </w:r>
          </w:p>
        </w:tc>
        <w:tc>
          <w:tcPr>
            <w:tcW w:type="dxa" w:w="4989"/>
          </w:tcPr>
          <w:p>
            <w:r/>
            <w:r>
              <w:rPr>
                <w:sz w:val="19"/>
              </w:rPr>
              <w:t>Shown once stories are located</w:t>
            </w:r>
          </w:p>
        </w:tc>
      </w:tr>
      <w:tr>
        <w:tc>
          <w:tcPr>
            <w:tcW w:type="dxa" w:w="1814"/>
            <w:shd w:val="clear" w:color="auto" w:fill="F3F5F7"/>
          </w:tcPr>
          <w:p>
            <w:r/>
            <w:r>
              <w:rPr>
                <w:sz w:val="19"/>
              </w:rPr>
              <w:t>Europe</w:t>
            </w:r>
          </w:p>
        </w:tc>
        <w:tc>
          <w:tcPr>
            <w:tcW w:type="dxa" w:w="1020"/>
            <w:shd w:val="clear" w:color="auto" w:fill="F3F5F7"/>
          </w:tcPr>
          <w:p>
            <w:r/>
            <w:r>
              <w:rPr>
                <w:sz w:val="19"/>
              </w:rPr>
              <w:t>0</w:t>
            </w:r>
          </w:p>
        </w:tc>
        <w:tc>
          <w:tcPr>
            <w:tcW w:type="dxa" w:w="1814"/>
            <w:shd w:val="clear" w:color="auto" w:fill="F3F5F7"/>
          </w:tcPr>
          <w:p>
            <w:r/>
            <w:r>
              <w:rPr>
                <w:sz w:val="19"/>
              </w:rPr>
              <w:t>– of 37</w:t>
            </w:r>
          </w:p>
        </w:tc>
        <w:tc>
          <w:tcPr>
            <w:tcW w:type="dxa" w:w="4989"/>
            <w:shd w:val="clear" w:color="auto" w:fill="F3F5F7"/>
          </w:tcPr>
          <w:p>
            <w:r/>
            <w:r>
              <w:rPr>
                <w:sz w:val="19"/>
              </w:rPr>
              <w:t>Shown once stories are located</w:t>
            </w:r>
          </w:p>
        </w:tc>
      </w:tr>
      <w:tr>
        <w:tc>
          <w:tcPr>
            <w:tcW w:type="dxa" w:w="1814"/>
          </w:tcPr>
          <w:p>
            <w:r/>
            <w:r>
              <w:rPr>
                <w:sz w:val="19"/>
              </w:rPr>
              <w:t>North America</w:t>
            </w:r>
          </w:p>
        </w:tc>
        <w:tc>
          <w:tcPr>
            <w:tcW w:type="dxa" w:w="1020"/>
          </w:tcPr>
          <w:p>
            <w:r/>
            <w:r>
              <w:rPr>
                <w:sz w:val="19"/>
              </w:rPr>
              <w:t>0</w:t>
            </w:r>
          </w:p>
        </w:tc>
        <w:tc>
          <w:tcPr>
            <w:tcW w:type="dxa" w:w="1814"/>
          </w:tcPr>
          <w:p>
            <w:r/>
            <w:r>
              <w:rPr>
                <w:sz w:val="19"/>
              </w:rPr>
              <w:t>– of 3</w:t>
            </w:r>
          </w:p>
        </w:tc>
        <w:tc>
          <w:tcPr>
            <w:tcW w:type="dxa" w:w="4989"/>
          </w:tcPr>
          <w:p>
            <w:r/>
            <w:r>
              <w:rPr>
                <w:sz w:val="19"/>
              </w:rPr>
              <w:t>Shown once stories are located</w:t>
            </w:r>
          </w:p>
        </w:tc>
      </w:tr>
      <w:tr>
        <w:tc>
          <w:tcPr>
            <w:tcW w:type="dxa" w:w="1814"/>
            <w:shd w:val="clear" w:color="auto" w:fill="F3F5F7"/>
          </w:tcPr>
          <w:p>
            <w:r/>
            <w:r>
              <w:rPr>
                <w:sz w:val="19"/>
              </w:rPr>
              <w:t>South America</w:t>
            </w:r>
          </w:p>
        </w:tc>
        <w:tc>
          <w:tcPr>
            <w:tcW w:type="dxa" w:w="1020"/>
            <w:shd w:val="clear" w:color="auto" w:fill="F3F5F7"/>
          </w:tcPr>
          <w:p>
            <w:r/>
            <w:r>
              <w:rPr>
                <w:sz w:val="19"/>
              </w:rPr>
              <w:t>0</w:t>
            </w:r>
          </w:p>
        </w:tc>
        <w:tc>
          <w:tcPr>
            <w:tcW w:type="dxa" w:w="1814"/>
            <w:shd w:val="clear" w:color="auto" w:fill="F3F5F7"/>
          </w:tcPr>
          <w:p>
            <w:r/>
            <w:r>
              <w:rPr>
                <w:sz w:val="19"/>
              </w:rPr>
              <w:t>– of 11</w:t>
            </w:r>
          </w:p>
        </w:tc>
        <w:tc>
          <w:tcPr>
            <w:tcW w:type="dxa" w:w="4989"/>
            <w:shd w:val="clear" w:color="auto" w:fill="F3F5F7"/>
          </w:tcPr>
          <w:p>
            <w:r/>
            <w:r>
              <w:rPr>
                <w:sz w:val="19"/>
              </w:rPr>
              <w:t>Shown once stories are located</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No developing stories yet: they appear when a new report follows up an earlier story in the archive (an inquiry into a landslide reported last month, for example).</w:t>
      </w:r>
    </w:p>
    <w:p>
      <w:pPr>
        <w:pStyle w:val="Heading1"/>
      </w:pPr>
      <w:r>
        <w:rPr>
          <w:color w:val="16324F"/>
        </w:rPr>
        <w:t>8. Research papers (Q4 2026)</w:t>
      </w:r>
    </w:p>
    <w:p>
      <w:r>
        <w:t>20 new papers from 12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Engineering Geology</w:t>
            </w:r>
          </w:p>
        </w:tc>
        <w:tc>
          <w:tcPr>
            <w:tcW w:type="dxa" w:w="1701"/>
            <w:shd w:val="clear" w:color="auto" w:fill="F3F5F7"/>
          </w:tcPr>
          <w:p>
            <w:r/>
            <w:r>
              <w:rPr>
                <w:sz w:val="19"/>
              </w:rPr>
              <w:t>3</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Computers and Geotechnics</w:t>
            </w:r>
          </w:p>
        </w:tc>
        <w:tc>
          <w:tcPr>
            <w:tcW w:type="dxa" w:w="1701"/>
            <w:shd w:val="clear" w:color="auto" w:fill="F3F5F7"/>
          </w:tcPr>
          <w:p>
            <w:r/>
            <w:r>
              <w:rPr>
                <w:sz w:val="19"/>
              </w:rPr>
              <w:t>2</w:t>
            </w:r>
          </w:p>
        </w:tc>
      </w:tr>
      <w:tr>
        <w:tc>
          <w:tcPr>
            <w:tcW w:type="dxa" w:w="6803"/>
          </w:tcPr>
          <w:p>
            <w:r/>
            <w:r>
              <w:rPr>
                <w:sz w:val="19"/>
              </w:rPr>
              <w:t>Tunnelling and Underground Space Technology</w:t>
            </w:r>
          </w:p>
        </w:tc>
        <w:tc>
          <w:tcPr>
            <w:tcW w:type="dxa" w:w="1701"/>
          </w:tcPr>
          <w:p>
            <w:r/>
            <w:r>
              <w:rPr>
                <w:sz w:val="19"/>
              </w:rPr>
              <w:t>2</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1</w:t>
            </w:r>
          </w:p>
        </w:tc>
      </w:tr>
      <w:tr>
        <w:tc>
          <w:tcPr>
            <w:tcW w:type="dxa" w:w="6803"/>
          </w:tcPr>
          <w:p>
            <w:r/>
            <w:r>
              <w:rPr>
                <w:sz w:val="19"/>
              </w:rPr>
              <w:t>Georisk: Assessment and Management of Risk for Engineered Systems and Geohazards</w:t>
            </w:r>
          </w:p>
        </w:tc>
        <w:tc>
          <w:tcPr>
            <w:tcW w:type="dxa" w:w="1701"/>
          </w:tcPr>
          <w:p>
            <w:r/>
            <w:r>
              <w:rPr>
                <w:sz w:val="19"/>
              </w:rPr>
              <w:t>1</w:t>
            </w:r>
          </w:p>
        </w:tc>
      </w:tr>
      <w:tr>
        <w:tc>
          <w:tcPr>
            <w:tcW w:type="dxa" w:w="6803"/>
            <w:shd w:val="clear" w:color="auto" w:fill="F3F5F7"/>
          </w:tcPr>
          <w:p>
            <w:r/>
            <w:r>
              <w:rPr>
                <w:sz w:val="19"/>
              </w:rPr>
              <w:t>Underground Space</w:t>
            </w:r>
          </w:p>
        </w:tc>
        <w:tc>
          <w:tcPr>
            <w:tcW w:type="dxa" w:w="1701"/>
            <w:shd w:val="clear" w:color="auto" w:fill="F3F5F7"/>
          </w:tcPr>
          <w:p>
            <w:r/>
            <w:r>
              <w:rPr>
                <w:sz w:val="19"/>
              </w:rPr>
              <w:t>1</w:t>
            </w:r>
          </w:p>
        </w:tc>
      </w:tr>
    </w:tbl>
    <w:p/>
    <w:p>
      <w:pPr>
        <w:pStyle w:val="ListBullet"/>
      </w:pPr>
      <w:r>
        <w:rPr>
          <w:b/>
        </w:rPr>
        <w:t>Secondary Compression of Deep Foundations in Carbonate Soils: An InSAR Study of Sunny Isles, Florida</w:t>
      </w:r>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r>
        <w:rPr>
          <w:b/>
        </w:rPr>
        <w:t>Probabilistic State Parameter–Based Liquefaction Triggering Model</w:t>
      </w:r>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r>
        <w:rPr>
          <w:b/>
        </w:rPr>
        <w:t>Experimental investigation on deformation behavior of pile-supported embankments with geogrid-tire cells reinforcement</w:t>
      </w:r>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r>
        <w:rPr>
          <w:b/>
        </w:rPr>
        <w:t>From rockfall to landslide: early warning based on video monitoring in open-pit mines</w:t>
      </w:r>
      <w:r>
        <w:t xml:space="preserve"> — Landslides, 2026-10-20. Video monitoring workflows that link rockfall events to developing landslides give open-pit mine operators a practical early-warning approach they could deploy now.</w:t>
      </w:r>
    </w:p>
    <w:p>
      <w:pPr>
        <w:pStyle w:val="ListBullet"/>
      </w:pPr>
      <w:r>
        <w:rPr>
          <w:b/>
        </w:rPr>
        <w:t>Stiffness compatibility in geosynthetic-reinforced column-supported embankment widening over soft ground: numerical insights and a design framework</w:t>
      </w:r>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r>
        <w:rPr>
          <w:b/>
        </w:rPr>
        <w:t>Extended soil-arching analysis for piled embankments with rectangular pile layouts</w:t>
      </w:r>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r>
        <w:rPr>
          <w:b/>
        </w:rPr>
        <w:t>Stability analysis of geotextile tube tailings dams under inclined stacking: composite failure mechanism and oblique horizontal slice method</w:t>
      </w:r>
      <w:r>
        <w:t xml:space="preserve"> — Acta Geotechnica, 2026-10-20. A composite failure mechanism and slice method for geotextile tube tailings dams under inclined stacking provide a stability check that practitioners can use for tailings management.</w:t>
      </w:r>
    </w:p>
    <w:p>
      <w:pPr>
        <w:pStyle w:val="ListBullet"/>
      </w:pPr>
      <w:r>
        <w:rPr>
          <w:b/>
        </w:rPr>
        <w:t>A unified experimental-numerical assessment of Cable, Pile, and Zone solid rockbolt models in FLAC3D: bond-slip, load transfer, and model selection</w:t>
      </w:r>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9. Issue briefs</w:t>
      </w:r>
    </w:p>
    <w:p>
      <w:r>
        <w:t>Claude drafts a brief for each issue window: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10. Events calendar</w:t>
      </w:r>
    </w:p>
    <w:p>
      <w:r>
        <w:t>The calendar holds 6 events: 6 from the editors' list (data/events.yaml) and 0 found by the weekly refresh, which has not run yet (it needs the ANTHROPIC_API_KEY secret and Anthropic's web search and web fetch tools).</w:t>
      </w:r>
    </w:p>
    <w:p>
      <w:r>
        <w:t>No deadline (call for papers, registration) falls in the next 90 days.</w:t>
      </w:r>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1 Mar 2027</w:t>
            </w:r>
          </w:p>
        </w:tc>
        <w:tc>
          <w:tcPr>
            <w:tcW w:type="dxa" w:w="4535"/>
          </w:tcPr>
          <w:p>
            <w:r/>
            <w:r>
              <w:rPr>
                <w:sz w:val="19"/>
              </w:rPr>
              <w:t>Geo-Congress 2027, part of ASCE2027</w:t>
            </w:r>
          </w:p>
        </w:tc>
        <w:tc>
          <w:tcPr>
            <w:tcW w:type="dxa" w:w="2041"/>
          </w:tcPr>
          <w:p>
            <w:r/>
            <w:r>
              <w:rPr>
                <w:sz w:val="19"/>
              </w:rPr>
              <w:t>Philadelphia, United States</w:t>
            </w:r>
          </w:p>
        </w:tc>
        <w:tc>
          <w:tcPr>
            <w:tcW w:type="dxa" w:w="1701"/>
          </w:tcPr>
          <w:p>
            <w:r/>
            <w:r>
              <w:rPr>
                <w:sz w:val="19"/>
              </w:rPr>
              <w:t>Other conference</w:t>
            </w:r>
          </w:p>
        </w:tc>
      </w:tr>
      <w:tr>
        <w:tc>
          <w:tcPr>
            <w:tcW w:type="dxa" w:w="1361"/>
            <w:shd w:val="clear" w:color="auto" w:fill="F3F5F7"/>
          </w:tcPr>
          <w:p>
            <w:r/>
            <w:r>
              <w:rPr>
                <w:sz w:val="19"/>
              </w:rPr>
              <w:t>12 Apr 2027</w:t>
            </w:r>
          </w:p>
        </w:tc>
        <w:tc>
          <w:tcPr>
            <w:tcW w:type="dxa" w:w="4535"/>
            <w:shd w:val="clear" w:color="auto" w:fill="F3F5F7"/>
          </w:tcPr>
          <w:p>
            <w:r/>
            <w:r>
              <w:rPr>
                <w:sz w:val="19"/>
              </w:rPr>
              <w:t>2nd International Symposium on Ground Improvement</w:t>
            </w:r>
          </w:p>
        </w:tc>
        <w:tc>
          <w:tcPr>
            <w:tcW w:type="dxa" w:w="2041"/>
            <w:shd w:val="clear" w:color="auto" w:fill="F3F5F7"/>
          </w:tcPr>
          <w:p>
            <w:r/>
            <w:r>
              <w:rPr>
                <w:sz w:val="19"/>
              </w:rPr>
              <w:t>Lyon, France</w:t>
            </w:r>
          </w:p>
        </w:tc>
        <w:tc>
          <w:tcPr>
            <w:tcW w:type="dxa" w:w="1701"/>
            <w:shd w:val="clear" w:color="auto" w:fill="F3F5F7"/>
          </w:tcPr>
          <w:p>
            <w:r/>
            <w:r>
              <w:rPr>
                <w:sz w:val="19"/>
              </w:rPr>
              <w:t>ISSMGE-supported</w:t>
            </w:r>
          </w:p>
        </w:tc>
      </w:tr>
      <w:tr>
        <w:tc>
          <w:tcPr>
            <w:tcW w:type="dxa" w:w="1361"/>
          </w:tcPr>
          <w:p>
            <w:r/>
            <w:r>
              <w:rPr>
                <w:sz w:val="19"/>
              </w:rPr>
              <w:t>23 Apr 2027</w:t>
            </w:r>
          </w:p>
        </w:tc>
        <w:tc>
          <w:tcPr>
            <w:tcW w:type="dxa" w:w="4535"/>
          </w:tcPr>
          <w:p>
            <w:r/>
            <w:r>
              <w:rPr>
                <w:sz w:val="19"/>
              </w:rPr>
              <w:t>ITA-AITES World Tunnel Congress 2027</w:t>
            </w:r>
          </w:p>
        </w:tc>
        <w:tc>
          <w:tcPr>
            <w:tcW w:type="dxa" w:w="2041"/>
          </w:tcPr>
          <w:p>
            <w:r/>
            <w:r>
              <w:rPr>
                <w:sz w:val="19"/>
              </w:rPr>
              <w:t>Antwerp, Belgium</w:t>
            </w:r>
          </w:p>
        </w:tc>
        <w:tc>
          <w:tcPr>
            <w:tcW w:type="dxa" w:w="1701"/>
          </w:tcPr>
          <w:p>
            <w:r/>
            <w:r>
              <w:rPr>
                <w:sz w:val="19"/>
              </w:rPr>
              <w:t>Other conference</w:t>
            </w:r>
          </w:p>
        </w:tc>
      </w:tr>
      <w:tr>
        <w:tc>
          <w:tcPr>
            <w:tcW w:type="dxa" w:w="1361"/>
            <w:shd w:val="clear" w:color="auto" w:fill="F3F5F7"/>
          </w:tcPr>
          <w:p>
            <w:r/>
            <w:r>
              <w:rPr>
                <w:sz w:val="19"/>
              </w:rPr>
              <w:t>28 Jun 2027</w:t>
            </w:r>
          </w:p>
        </w:tc>
        <w:tc>
          <w:tcPr>
            <w:tcW w:type="dxa" w:w="4535"/>
            <w:shd w:val="clear" w:color="auto" w:fill="F3F5F7"/>
          </w:tcPr>
          <w:p>
            <w:r/>
            <w:r>
              <w:rPr>
                <w:sz w:val="19"/>
              </w:rPr>
              <w:t>International Conference on Sustainability in Geotechnical Engineering</w:t>
            </w:r>
          </w:p>
        </w:tc>
        <w:tc>
          <w:tcPr>
            <w:tcW w:type="dxa" w:w="2041"/>
            <w:shd w:val="clear" w:color="auto" w:fill="F3F5F7"/>
          </w:tcPr>
          <w:p>
            <w:r/>
            <w:r>
              <w:rPr>
                <w:sz w:val="19"/>
              </w:rPr>
              <w:t>Lisbon, Portugal</w:t>
            </w:r>
          </w:p>
        </w:tc>
        <w:tc>
          <w:tcPr>
            <w:tcW w:type="dxa" w:w="1701"/>
            <w:shd w:val="clear" w:color="auto" w:fill="F3F5F7"/>
          </w:tcPr>
          <w:p>
            <w:r/>
            <w:r>
              <w:rPr>
                <w:sz w:val="19"/>
              </w:rPr>
              <w:t>ISSMGE-supported</w:t>
            </w:r>
          </w:p>
        </w:tc>
      </w:tr>
      <w:tr>
        <w:tc>
          <w:tcPr>
            <w:tcW w:type="dxa" w:w="1361"/>
          </w:tcPr>
          <w:p>
            <w:r/>
            <w:r>
              <w:rPr>
                <w:sz w:val="19"/>
              </w:rPr>
              <w:t>14 Sep 2027</w:t>
            </w:r>
          </w:p>
        </w:tc>
        <w:tc>
          <w:tcPr>
            <w:tcW w:type="dxa" w:w="4535"/>
          </w:tcPr>
          <w:p>
            <w:r/>
            <w:r>
              <w:rPr>
                <w:sz w:val="19"/>
              </w:rPr>
              <w:t>9th International Symposium on Deformation Characteristics of Geomaterials</w:t>
            </w:r>
          </w:p>
        </w:tc>
        <w:tc>
          <w:tcPr>
            <w:tcW w:type="dxa" w:w="2041"/>
          </w:tcPr>
          <w:p>
            <w:r/>
            <w:r>
              <w:rPr>
                <w:sz w:val="19"/>
              </w:rPr>
              <w:t>Ankara, Türkiye</w:t>
            </w:r>
          </w:p>
        </w:tc>
        <w:tc>
          <w:tcPr>
            <w:tcW w:type="dxa" w:w="1701"/>
          </w:tcPr>
          <w:p>
            <w:r/>
            <w:r>
              <w:rPr>
                <w:sz w:val="19"/>
              </w:rPr>
              <w:t>ISSMGE-supported</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