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32" w:rsidRPr="00607F6D" w:rsidRDefault="00607F6D" w:rsidP="00F71C3C">
      <w:pPr>
        <w:jc w:val="both"/>
        <w:rPr>
          <w:rFonts w:ascii="Arial" w:hAnsi="Arial" w:cs="Arial"/>
          <w:sz w:val="28"/>
          <w:szCs w:val="28"/>
        </w:rPr>
      </w:pPr>
      <w:r w:rsidRPr="00607F6D">
        <w:rPr>
          <w:rFonts w:ascii="Arial" w:hAnsi="Arial" w:cs="Arial"/>
          <w:sz w:val="28"/>
          <w:szCs w:val="28"/>
        </w:rPr>
        <w:t>Log Query</w:t>
      </w:r>
    </w:p>
    <w:p w:rsidR="00607F6D" w:rsidRDefault="00607F6D" w:rsidP="00F71C3C">
      <w:pPr>
        <w:jc w:val="both"/>
        <w:rPr>
          <w:rFonts w:ascii="Arial" w:hAnsi="Arial" w:cs="Arial"/>
          <w:sz w:val="28"/>
          <w:szCs w:val="28"/>
        </w:rPr>
      </w:pPr>
      <w:r w:rsidRPr="00607F6D">
        <w:rPr>
          <w:rFonts w:ascii="Arial" w:hAnsi="Arial" w:cs="Arial"/>
          <w:sz w:val="28"/>
          <w:szCs w:val="28"/>
        </w:rPr>
        <w:t>Introduction</w:t>
      </w:r>
    </w:p>
    <w:p w:rsidR="00607F6D" w:rsidRDefault="00607F6D" w:rsidP="00F71C3C">
      <w:pPr>
        <w:jc w:val="both"/>
        <w:rPr>
          <w:rFonts w:ascii="Arial" w:hAnsi="Arial" w:cs="Arial"/>
        </w:rPr>
      </w:pPr>
      <w:r w:rsidRPr="00607F6D">
        <w:rPr>
          <w:rFonts w:ascii="Arial" w:hAnsi="Arial" w:cs="Arial"/>
        </w:rPr>
        <w:t xml:space="preserve">When analyzing logs </w:t>
      </w:r>
      <w:r>
        <w:rPr>
          <w:rFonts w:ascii="Arial" w:hAnsi="Arial" w:cs="Arial"/>
        </w:rPr>
        <w:t>one of the first tasks is to search for a particular message or procedure of interest. Sometimes the point of interest in the log is just a small part of the whole log. Log Query is a searching mechanism to find and extract those part</w:t>
      </w:r>
      <w:r w:rsidR="00F71C3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log that the person analyzing the log</w:t>
      </w:r>
      <w:r w:rsidR="00F30FB6">
        <w:rPr>
          <w:rFonts w:ascii="Arial" w:hAnsi="Arial" w:cs="Arial"/>
        </w:rPr>
        <w:t xml:space="preserve"> or tester</w:t>
      </w:r>
      <w:r>
        <w:rPr>
          <w:rFonts w:ascii="Arial" w:hAnsi="Arial" w:cs="Arial"/>
        </w:rPr>
        <w:t xml:space="preserve"> is interested in. </w:t>
      </w:r>
    </w:p>
    <w:p w:rsidR="00607F6D" w:rsidRDefault="00607F6D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Simple search on a message id or a time stamp already exists in the current tools. What Log Query aims is to provide a powerful search mechanism so that entire procedures and arbitrary sequences can be searched and extracted from the log. </w:t>
      </w:r>
    </w:p>
    <w:p w:rsidR="00607F6D" w:rsidRDefault="00607F6D" w:rsidP="00F71C3C">
      <w:pPr>
        <w:jc w:val="both"/>
        <w:rPr>
          <w:rFonts w:ascii="Arial" w:hAnsi="Arial" w:cs="Arial"/>
          <w:sz w:val="28"/>
          <w:szCs w:val="28"/>
        </w:rPr>
      </w:pPr>
      <w:r w:rsidRPr="00607F6D">
        <w:rPr>
          <w:rFonts w:ascii="Arial" w:hAnsi="Arial" w:cs="Arial"/>
          <w:sz w:val="28"/>
          <w:szCs w:val="28"/>
        </w:rPr>
        <w:t>Log</w:t>
      </w:r>
    </w:p>
    <w:p w:rsidR="004F768B" w:rsidRDefault="00063DF9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.25pt;margin-top:37.9pt;width:73.5pt;height:109.5pt;z-index:251658240">
            <v:textbox>
              <w:txbxContent>
                <w:p w:rsidR="00063DF9" w:rsidRDefault="00063DF9" w:rsidP="00063DF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</w:pPr>
                  <w:proofErr w:type="spellStart"/>
                  <w:r>
                    <w:t>Msg</w:t>
                  </w:r>
                  <w:proofErr w:type="spellEnd"/>
                  <w:r>
                    <w:t xml:space="preserve"> 1</w:t>
                  </w:r>
                </w:p>
                <w:p w:rsidR="00063DF9" w:rsidRDefault="00063DF9" w:rsidP="00063DF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</w:pPr>
                  <w:proofErr w:type="spellStart"/>
                  <w:r>
                    <w:t>Msg</w:t>
                  </w:r>
                  <w:proofErr w:type="spellEnd"/>
                  <w:r>
                    <w:t xml:space="preserve"> 2</w:t>
                  </w:r>
                </w:p>
                <w:p w:rsidR="00063DF9" w:rsidRDefault="00063DF9" w:rsidP="00063DF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</w:pPr>
                  <w:proofErr w:type="spellStart"/>
                  <w:r>
                    <w:t>Msg</w:t>
                  </w:r>
                  <w:proofErr w:type="spellEnd"/>
                  <w:r>
                    <w:t xml:space="preserve"> 3</w:t>
                  </w:r>
                </w:p>
                <w:p w:rsidR="00063DF9" w:rsidRDefault="00063DF9" w:rsidP="00063DF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</w:pPr>
                  <w:r>
                    <w:t>…</w:t>
                  </w:r>
                </w:p>
              </w:txbxContent>
            </v:textbox>
          </v:shape>
        </w:pict>
      </w:r>
      <w:r w:rsidR="004F768B">
        <w:rPr>
          <w:rFonts w:ascii="Arial" w:hAnsi="Arial" w:cs="Arial"/>
        </w:rPr>
        <w:t>For log query a simplified view of log is taken. A log is taken as a list of messages. Messages include actual protocol stack messages and traces.</w:t>
      </w:r>
    </w:p>
    <w:p w:rsidR="00063DF9" w:rsidRDefault="00063DF9" w:rsidP="00F71C3C">
      <w:pPr>
        <w:jc w:val="both"/>
        <w:rPr>
          <w:rFonts w:ascii="Arial" w:hAnsi="Arial" w:cs="Arial"/>
        </w:rPr>
      </w:pPr>
    </w:p>
    <w:p w:rsidR="00063DF9" w:rsidRDefault="00063DF9" w:rsidP="00F71C3C">
      <w:pPr>
        <w:jc w:val="both"/>
        <w:rPr>
          <w:rFonts w:ascii="Arial" w:hAnsi="Arial" w:cs="Arial"/>
          <w:sz w:val="28"/>
          <w:szCs w:val="28"/>
        </w:rPr>
      </w:pPr>
    </w:p>
    <w:p w:rsidR="00063DF9" w:rsidRDefault="00063DF9" w:rsidP="00F71C3C">
      <w:pPr>
        <w:jc w:val="both"/>
        <w:rPr>
          <w:rFonts w:ascii="Arial" w:hAnsi="Arial" w:cs="Arial"/>
          <w:sz w:val="28"/>
          <w:szCs w:val="28"/>
        </w:rPr>
      </w:pPr>
    </w:p>
    <w:p w:rsidR="00063DF9" w:rsidRDefault="00063DF9" w:rsidP="00F71C3C">
      <w:pPr>
        <w:jc w:val="both"/>
        <w:rPr>
          <w:rFonts w:ascii="Arial" w:hAnsi="Arial" w:cs="Arial"/>
          <w:sz w:val="28"/>
          <w:szCs w:val="28"/>
        </w:rPr>
      </w:pPr>
    </w:p>
    <w:p w:rsidR="00063DF9" w:rsidRDefault="00063DF9" w:rsidP="00F71C3C">
      <w:pPr>
        <w:jc w:val="both"/>
        <w:rPr>
          <w:rFonts w:ascii="Arial" w:hAnsi="Arial" w:cs="Arial"/>
          <w:sz w:val="28"/>
          <w:szCs w:val="28"/>
        </w:rPr>
      </w:pPr>
    </w:p>
    <w:p w:rsidR="00607F6D" w:rsidRDefault="00607F6D" w:rsidP="00F71C3C">
      <w:pPr>
        <w:jc w:val="both"/>
        <w:rPr>
          <w:rFonts w:ascii="Arial" w:hAnsi="Arial" w:cs="Arial"/>
          <w:sz w:val="28"/>
          <w:szCs w:val="28"/>
        </w:rPr>
      </w:pPr>
      <w:r w:rsidRPr="00607F6D">
        <w:rPr>
          <w:rFonts w:ascii="Arial" w:hAnsi="Arial" w:cs="Arial"/>
          <w:sz w:val="28"/>
          <w:szCs w:val="28"/>
        </w:rPr>
        <w:t>Message</w:t>
      </w:r>
    </w:p>
    <w:p w:rsidR="004F768B" w:rsidRDefault="004F768B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message is a simplified view of the actual protocol stack message or trace. Only the required fields from the messages are looked upon while executing the query. This is to avoid </w:t>
      </w:r>
      <w:r w:rsidR="00F71C3C">
        <w:rPr>
          <w:rFonts w:ascii="Arial" w:hAnsi="Arial" w:cs="Arial"/>
        </w:rPr>
        <w:t>processing</w:t>
      </w:r>
      <w:r>
        <w:rPr>
          <w:rFonts w:ascii="Arial" w:hAnsi="Arial" w:cs="Arial"/>
        </w:rPr>
        <w:t xml:space="preserve"> the big messages, which usually contains large amount of unwanted data that the </w:t>
      </w:r>
      <w:r w:rsidR="00F30FB6">
        <w:rPr>
          <w:rFonts w:ascii="Arial" w:hAnsi="Arial" w:cs="Arial"/>
        </w:rPr>
        <w:t>tester</w:t>
      </w:r>
      <w:r>
        <w:rPr>
          <w:rFonts w:ascii="Arial" w:hAnsi="Arial" w:cs="Arial"/>
        </w:rPr>
        <w:t xml:space="preserve"> is not interested. </w:t>
      </w:r>
    </w:p>
    <w:p w:rsidR="004F768B" w:rsidRDefault="004F768B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All the fields that are required for querying are extracted and kept as a (</w:t>
      </w:r>
      <w:r w:rsidR="00F30FB6">
        <w:rPr>
          <w:rFonts w:ascii="Arial" w:hAnsi="Arial" w:cs="Arial"/>
        </w:rPr>
        <w:t>name</w:t>
      </w:r>
      <w:r>
        <w:rPr>
          <w:rFonts w:ascii="Arial" w:hAnsi="Arial" w:cs="Arial"/>
        </w:rPr>
        <w:t xml:space="preserve">, </w:t>
      </w:r>
      <w:r w:rsidR="00F30FB6">
        <w:rPr>
          <w:rFonts w:ascii="Arial" w:hAnsi="Arial" w:cs="Arial"/>
        </w:rPr>
        <w:t>value</w:t>
      </w:r>
      <w:r>
        <w:rPr>
          <w:rFonts w:ascii="Arial" w:hAnsi="Arial" w:cs="Arial"/>
        </w:rPr>
        <w:t>) pairs. This will greatly reduce the log size as well as querying time.</w:t>
      </w:r>
    </w:p>
    <w:tbl>
      <w:tblPr>
        <w:tblStyle w:val="TableGrid"/>
        <w:tblW w:w="6642" w:type="dxa"/>
        <w:tblLook w:val="04A0"/>
      </w:tblPr>
      <w:tblGrid>
        <w:gridCol w:w="1107"/>
        <w:gridCol w:w="1107"/>
        <w:gridCol w:w="1107"/>
        <w:gridCol w:w="1107"/>
        <w:gridCol w:w="1107"/>
        <w:gridCol w:w="1107"/>
      </w:tblGrid>
      <w:tr w:rsidR="00F30FB6" w:rsidTr="00F30FB6">
        <w:tc>
          <w:tcPr>
            <w:tcW w:w="1107" w:type="dxa"/>
          </w:tcPr>
          <w:p w:rsidR="00F30FB6" w:rsidRDefault="00F30FB6" w:rsidP="00F71C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107" w:type="dxa"/>
          </w:tcPr>
          <w:p w:rsidR="00F30FB6" w:rsidRDefault="00F30FB6" w:rsidP="00F71C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107" w:type="dxa"/>
          </w:tcPr>
          <w:p w:rsidR="00F30FB6" w:rsidRDefault="00F30FB6" w:rsidP="00F71C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107" w:type="dxa"/>
          </w:tcPr>
          <w:p w:rsidR="00F30FB6" w:rsidRDefault="00F30FB6" w:rsidP="00F71C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107" w:type="dxa"/>
          </w:tcPr>
          <w:p w:rsidR="00F30FB6" w:rsidRDefault="00F30FB6" w:rsidP="00F71C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107" w:type="dxa"/>
          </w:tcPr>
          <w:p w:rsidR="00F30FB6" w:rsidRDefault="00F30FB6" w:rsidP="00F71C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</w:tbl>
    <w:p w:rsidR="00F30FB6" w:rsidRPr="00F30FB6" w:rsidRDefault="00F30FB6" w:rsidP="00F71C3C">
      <w:pPr>
        <w:jc w:val="both"/>
        <w:rPr>
          <w:rFonts w:ascii="Arial" w:hAnsi="Arial" w:cs="Arial"/>
        </w:rPr>
      </w:pPr>
    </w:p>
    <w:p w:rsidR="00607F6D" w:rsidRDefault="00607F6D" w:rsidP="00F71C3C">
      <w:pPr>
        <w:jc w:val="both"/>
        <w:rPr>
          <w:rFonts w:ascii="Arial" w:hAnsi="Arial" w:cs="Arial"/>
          <w:sz w:val="28"/>
          <w:szCs w:val="28"/>
        </w:rPr>
      </w:pPr>
      <w:r w:rsidRPr="00607F6D">
        <w:rPr>
          <w:rFonts w:ascii="Arial" w:hAnsi="Arial" w:cs="Arial"/>
          <w:sz w:val="28"/>
          <w:szCs w:val="28"/>
        </w:rPr>
        <w:t>Sequence</w:t>
      </w:r>
    </w:p>
    <w:p w:rsidR="00F30FB6" w:rsidRPr="00607F6D" w:rsidRDefault="00F30FB6" w:rsidP="00F71C3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Sequence is a range of messages in the log. Usually these are the parts of the log the tester is interested in. Usually a sequence will have a start point and an end point. Start point may be a message like RACH start and the end point may be RACH end. The start </w:t>
      </w:r>
      <w:r>
        <w:rPr>
          <w:rFonts w:ascii="Arial" w:hAnsi="Arial" w:cs="Arial"/>
        </w:rPr>
        <w:lastRenderedPageBreak/>
        <w:t xml:space="preserve">points itself can be sequences. For example: Start may be a handover to a particular cell and the end point may be going back to IDLE state. </w:t>
      </w:r>
    </w:p>
    <w:p w:rsidR="00607F6D" w:rsidRDefault="00607F6D" w:rsidP="00F71C3C">
      <w:pPr>
        <w:jc w:val="both"/>
        <w:rPr>
          <w:rFonts w:ascii="Arial" w:hAnsi="Arial" w:cs="Arial"/>
          <w:sz w:val="28"/>
          <w:szCs w:val="28"/>
        </w:rPr>
      </w:pPr>
      <w:r w:rsidRPr="00607F6D">
        <w:rPr>
          <w:rFonts w:ascii="Arial" w:hAnsi="Arial" w:cs="Arial"/>
          <w:sz w:val="28"/>
          <w:szCs w:val="28"/>
        </w:rPr>
        <w:t>Query</w:t>
      </w:r>
    </w:p>
    <w:p w:rsidR="00F30FB6" w:rsidRDefault="00F30FB6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Query gives a formal mechanism to specify a sequence of interest in the log and then apply the query to interested logs to extract the sequence. </w:t>
      </w:r>
    </w:p>
    <w:p w:rsidR="00F30FB6" w:rsidRDefault="00F30FB6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can be better understood by </w:t>
      </w:r>
      <w:r w:rsidR="00C854DF">
        <w:rPr>
          <w:rFonts w:ascii="Arial" w:hAnsi="Arial" w:cs="Arial"/>
        </w:rPr>
        <w:t>comparing it with regular expressions. Regular expressions can search and extract text from strings.</w:t>
      </w:r>
    </w:p>
    <w:p w:rsidR="00C854DF" w:rsidRDefault="00C854DF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 a string “</w:t>
      </w:r>
      <w:proofErr w:type="spellStart"/>
      <w:r>
        <w:rPr>
          <w:rFonts w:ascii="Arial" w:hAnsi="Arial" w:cs="Arial"/>
        </w:rPr>
        <w:t>aaabbbcccdddeeefff</w:t>
      </w:r>
      <w:proofErr w:type="spellEnd"/>
      <w:r>
        <w:rPr>
          <w:rFonts w:ascii="Arial" w:hAnsi="Arial" w:cs="Arial"/>
        </w:rPr>
        <w:t>” and a regular expression “b*d”. On applying the regular expression on the string we get the output as “</w:t>
      </w:r>
      <w:proofErr w:type="spellStart"/>
      <w:r>
        <w:rPr>
          <w:rFonts w:ascii="Arial" w:hAnsi="Arial" w:cs="Arial"/>
        </w:rPr>
        <w:t>bbbcccddd</w:t>
      </w:r>
      <w:proofErr w:type="spellEnd"/>
      <w:r>
        <w:rPr>
          <w:rFonts w:ascii="Arial" w:hAnsi="Arial" w:cs="Arial"/>
        </w:rPr>
        <w:t>”</w:t>
      </w:r>
    </w:p>
    <w:p w:rsidR="008908FB" w:rsidRDefault="00C854DF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Imagine that the characters in the string are log messages and the whole string a complete </w:t>
      </w:r>
      <w:r w:rsidR="008908FB">
        <w:rPr>
          <w:rFonts w:ascii="Arial" w:hAnsi="Arial" w:cs="Arial"/>
        </w:rPr>
        <w:t>log;</w:t>
      </w:r>
      <w:r>
        <w:rPr>
          <w:rFonts w:ascii="Arial" w:hAnsi="Arial" w:cs="Arial"/>
        </w:rPr>
        <w:t xml:space="preserve"> we can extract sequences of messages from the log using a mechanism similar to regular expressions. </w:t>
      </w:r>
      <w:r w:rsidR="008908FB">
        <w:rPr>
          <w:rFonts w:ascii="Arial" w:hAnsi="Arial" w:cs="Arial"/>
        </w:rPr>
        <w:t xml:space="preserve">Since </w:t>
      </w:r>
      <w:r>
        <w:rPr>
          <w:rFonts w:ascii="Arial" w:hAnsi="Arial" w:cs="Arial"/>
        </w:rPr>
        <w:t>messages are more comple</w:t>
      </w:r>
      <w:r w:rsidR="008908FB">
        <w:rPr>
          <w:rFonts w:ascii="Arial" w:hAnsi="Arial" w:cs="Arial"/>
        </w:rPr>
        <w:t xml:space="preserve">x than </w:t>
      </w:r>
      <w:r>
        <w:rPr>
          <w:rFonts w:ascii="Arial" w:hAnsi="Arial" w:cs="Arial"/>
        </w:rPr>
        <w:t>single character</w:t>
      </w:r>
      <w:r w:rsidR="008908F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</w:t>
      </w:r>
      <w:r w:rsidR="008908FB">
        <w:rPr>
          <w:rFonts w:ascii="Arial" w:hAnsi="Arial" w:cs="Arial"/>
        </w:rPr>
        <w:t>little more</w:t>
      </w:r>
      <w:r w:rsidR="00D804CE">
        <w:rPr>
          <w:rFonts w:ascii="Arial" w:hAnsi="Arial" w:cs="Arial"/>
        </w:rPr>
        <w:t xml:space="preserve"> complex mechanism </w:t>
      </w:r>
      <w:r w:rsidR="008908FB">
        <w:rPr>
          <w:rFonts w:ascii="Arial" w:hAnsi="Arial" w:cs="Arial"/>
        </w:rPr>
        <w:t>is needed.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specify a sequence in the log we need a “</w:t>
      </w:r>
      <w:r w:rsidRPr="007250DC"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>” marker. This is where the sequence starts. This is the only mandatory marker. Optionally we can have an “</w:t>
      </w:r>
      <w:r w:rsidRPr="007250DC">
        <w:rPr>
          <w:rFonts w:ascii="Arial" w:hAnsi="Arial" w:cs="Arial"/>
          <w:b/>
        </w:rPr>
        <w:t>end</w:t>
      </w:r>
      <w:r>
        <w:rPr>
          <w:rFonts w:ascii="Arial" w:hAnsi="Arial" w:cs="Arial"/>
        </w:rPr>
        <w:t xml:space="preserve">” marker so that everything between the start and end will be matched. 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are two special markers: </w:t>
      </w:r>
      <w:r w:rsidRPr="007250DC">
        <w:rPr>
          <w:rFonts w:ascii="Arial" w:hAnsi="Arial" w:cs="Arial"/>
          <w:b/>
        </w:rPr>
        <w:t>middle</w:t>
      </w:r>
      <w:r>
        <w:rPr>
          <w:rFonts w:ascii="Arial" w:hAnsi="Arial" w:cs="Arial"/>
        </w:rPr>
        <w:t xml:space="preserve"> and </w:t>
      </w:r>
      <w:r w:rsidRPr="007250DC">
        <w:rPr>
          <w:rFonts w:ascii="Arial" w:hAnsi="Arial" w:cs="Arial"/>
          <w:b/>
        </w:rPr>
        <w:t>not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we specify the </w:t>
      </w:r>
      <w:r w:rsidRPr="00C36379">
        <w:rPr>
          <w:rFonts w:ascii="Arial" w:hAnsi="Arial" w:cs="Arial"/>
          <w:b/>
        </w:rPr>
        <w:t>middle</w:t>
      </w:r>
      <w:r>
        <w:rPr>
          <w:rFonts w:ascii="Arial" w:hAnsi="Arial" w:cs="Arial"/>
        </w:rPr>
        <w:t xml:space="preserve"> marker then sequences matching star and end </w:t>
      </w:r>
      <w:proofErr w:type="gramStart"/>
      <w:r>
        <w:rPr>
          <w:rFonts w:ascii="Arial" w:hAnsi="Arial" w:cs="Arial"/>
        </w:rPr>
        <w:t>with at least one middle</w:t>
      </w:r>
      <w:proofErr w:type="gramEnd"/>
      <w:r>
        <w:rPr>
          <w:rFonts w:ascii="Arial" w:hAnsi="Arial" w:cs="Arial"/>
        </w:rPr>
        <w:t xml:space="preserve"> is matched. 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If </w:t>
      </w:r>
      <w:r w:rsidRPr="00C36379"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 xml:space="preserve"> is A</w:t>
      </w:r>
      <w:proofErr w:type="gramStart"/>
      <w:r>
        <w:rPr>
          <w:rFonts w:ascii="Arial" w:hAnsi="Arial" w:cs="Arial"/>
        </w:rPr>
        <w:t xml:space="preserve">,  </w:t>
      </w:r>
      <w:r w:rsidRPr="00C36379">
        <w:rPr>
          <w:rFonts w:ascii="Arial" w:hAnsi="Arial" w:cs="Arial"/>
          <w:b/>
        </w:rPr>
        <w:t>end</w:t>
      </w:r>
      <w:proofErr w:type="gramEnd"/>
      <w:r>
        <w:rPr>
          <w:rFonts w:ascii="Arial" w:hAnsi="Arial" w:cs="Arial"/>
        </w:rPr>
        <w:t xml:space="preserve"> is D, and </w:t>
      </w:r>
      <w:r w:rsidRPr="00C36379">
        <w:rPr>
          <w:rFonts w:ascii="Arial" w:hAnsi="Arial" w:cs="Arial"/>
          <w:b/>
        </w:rPr>
        <w:t>middle</w:t>
      </w:r>
      <w:r>
        <w:rPr>
          <w:rFonts w:ascii="Arial" w:hAnsi="Arial" w:cs="Arial"/>
        </w:rPr>
        <w:t xml:space="preserve"> is C then </w:t>
      </w:r>
    </w:p>
    <w:p w:rsidR="007250DC" w:rsidRDefault="007250DC" w:rsidP="00F71C3C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ACD  will</w:t>
      </w:r>
      <w:proofErr w:type="gramEnd"/>
      <w:r>
        <w:rPr>
          <w:rFonts w:ascii="Arial" w:hAnsi="Arial" w:cs="Arial"/>
        </w:rPr>
        <w:t xml:space="preserve"> match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ABBCEED will match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ABBD will not match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we specify the </w:t>
      </w:r>
      <w:r w:rsidRPr="00C36379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marker then sequences mat</w:t>
      </w:r>
      <w:r w:rsidR="00C36379">
        <w:rPr>
          <w:rFonts w:ascii="Arial" w:hAnsi="Arial" w:cs="Arial"/>
        </w:rPr>
        <w:t xml:space="preserve">ching start and end with no </w:t>
      </w:r>
      <w:r w:rsidR="00C36379" w:rsidRPr="00C36379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between them.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If </w:t>
      </w:r>
      <w:r w:rsidRPr="00C36379">
        <w:rPr>
          <w:rFonts w:ascii="Arial" w:hAnsi="Arial" w:cs="Arial"/>
          <w:b/>
        </w:rPr>
        <w:t>start</w:t>
      </w:r>
      <w:r w:rsidR="00C36379">
        <w:rPr>
          <w:rFonts w:ascii="Arial" w:hAnsi="Arial" w:cs="Arial"/>
        </w:rPr>
        <w:t xml:space="preserve"> is </w:t>
      </w:r>
      <w:proofErr w:type="gramStart"/>
      <w:r w:rsidR="00C36379">
        <w:rPr>
          <w:rFonts w:ascii="Arial" w:hAnsi="Arial" w:cs="Arial"/>
        </w:rPr>
        <w:t>A</w:t>
      </w:r>
      <w:proofErr w:type="gramEnd"/>
      <w:r w:rsidR="00C363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C36379">
        <w:rPr>
          <w:rFonts w:ascii="Arial" w:hAnsi="Arial" w:cs="Arial"/>
          <w:b/>
        </w:rPr>
        <w:t>end</w:t>
      </w:r>
      <w:r>
        <w:rPr>
          <w:rFonts w:ascii="Arial" w:hAnsi="Arial" w:cs="Arial"/>
        </w:rPr>
        <w:t xml:space="preserve"> is D, and </w:t>
      </w:r>
      <w:r w:rsidRPr="00C36379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is C then 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ABD will match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ABBCEED will not match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ABBD will match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markers </w:t>
      </w:r>
      <w:r w:rsidRPr="00C36379">
        <w:rPr>
          <w:rFonts w:ascii="Arial" w:hAnsi="Arial" w:cs="Arial"/>
          <w:b/>
        </w:rPr>
        <w:t>end</w:t>
      </w:r>
      <w:r>
        <w:rPr>
          <w:rFonts w:ascii="Arial" w:hAnsi="Arial" w:cs="Arial"/>
        </w:rPr>
        <w:t xml:space="preserve">, </w:t>
      </w:r>
      <w:r w:rsidRPr="00C36379">
        <w:rPr>
          <w:rFonts w:ascii="Arial" w:hAnsi="Arial" w:cs="Arial"/>
          <w:b/>
        </w:rPr>
        <w:t>middle</w:t>
      </w:r>
      <w:r>
        <w:rPr>
          <w:rFonts w:ascii="Arial" w:hAnsi="Arial" w:cs="Arial"/>
        </w:rPr>
        <w:t xml:space="preserve">, and </w:t>
      </w:r>
      <w:r w:rsidRPr="00C36379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are optional in the query.</w:t>
      </w:r>
    </w:p>
    <w:p w:rsidR="007250DC" w:rsidRDefault="007250DC" w:rsidP="00F71C3C">
      <w:pPr>
        <w:jc w:val="both"/>
        <w:rPr>
          <w:rFonts w:ascii="Arial" w:hAnsi="Arial" w:cs="Arial"/>
        </w:rPr>
      </w:pPr>
    </w:p>
    <w:p w:rsidR="007250DC" w:rsidRPr="007250DC" w:rsidRDefault="007250DC" w:rsidP="00F71C3C">
      <w:pPr>
        <w:jc w:val="both"/>
        <w:rPr>
          <w:rFonts w:ascii="Arial" w:hAnsi="Arial" w:cs="Arial"/>
          <w:sz w:val="28"/>
          <w:szCs w:val="28"/>
        </w:rPr>
      </w:pPr>
      <w:r w:rsidRPr="007250DC">
        <w:rPr>
          <w:rFonts w:ascii="Arial" w:hAnsi="Arial" w:cs="Arial"/>
          <w:sz w:val="28"/>
          <w:szCs w:val="28"/>
        </w:rPr>
        <w:lastRenderedPageBreak/>
        <w:t>Complex markers</w:t>
      </w:r>
    </w:p>
    <w:p w:rsidR="007250DC" w:rsidRDefault="007250DC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markers </w:t>
      </w:r>
      <w:r w:rsidRPr="007250DC"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 xml:space="preserve">, </w:t>
      </w:r>
      <w:r w:rsidRPr="007250DC">
        <w:rPr>
          <w:rFonts w:ascii="Arial" w:hAnsi="Arial" w:cs="Arial"/>
          <w:b/>
        </w:rPr>
        <w:t>end</w:t>
      </w:r>
      <w:r>
        <w:rPr>
          <w:rFonts w:ascii="Arial" w:hAnsi="Arial" w:cs="Arial"/>
        </w:rPr>
        <w:t xml:space="preserve">, </w:t>
      </w:r>
      <w:r w:rsidRPr="007250DC">
        <w:rPr>
          <w:rFonts w:ascii="Arial" w:hAnsi="Arial" w:cs="Arial"/>
          <w:b/>
        </w:rPr>
        <w:t>middle</w:t>
      </w:r>
      <w:r>
        <w:rPr>
          <w:rFonts w:ascii="Arial" w:hAnsi="Arial" w:cs="Arial"/>
        </w:rPr>
        <w:t xml:space="preserve">, and </w:t>
      </w:r>
      <w:proofErr w:type="gramStart"/>
      <w:r w:rsidRPr="007250DC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 can</w:t>
      </w:r>
      <w:proofErr w:type="gramEnd"/>
      <w:r>
        <w:rPr>
          <w:rFonts w:ascii="Arial" w:hAnsi="Arial" w:cs="Arial"/>
        </w:rPr>
        <w:t xml:space="preserve"> be of 3 types</w:t>
      </w:r>
      <w:r w:rsidR="008259E4">
        <w:rPr>
          <w:rFonts w:ascii="Arial" w:hAnsi="Arial" w:cs="Arial"/>
        </w:rPr>
        <w:t>:</w:t>
      </w:r>
    </w:p>
    <w:p w:rsidR="008259E4" w:rsidRDefault="008259E4" w:rsidP="00F71C3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Match only a single message</w:t>
      </w:r>
    </w:p>
    <w:p w:rsidR="008259E4" w:rsidRPr="008259E4" w:rsidRDefault="008259E4" w:rsidP="00F71C3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full query (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marker itself can be a previously declared query )</w:t>
      </w:r>
    </w:p>
    <w:p w:rsidR="008259E4" w:rsidRDefault="008259E4" w:rsidP="00F71C3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Match multiple messages or queries (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msg1 OR msg2 OR query1 … )</w:t>
      </w:r>
    </w:p>
    <w:p w:rsidR="008259E4" w:rsidRDefault="00A26FAF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Examples of single message markers are in the previous section. Here consider an example with markers as a complex query</w:t>
      </w:r>
    </w:p>
    <w:p w:rsidR="00A26FAF" w:rsidRDefault="00A26FAF" w:rsidP="00F71C3C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tmpq</w:t>
      </w:r>
      <w:proofErr w:type="spellEnd"/>
      <w:proofErr w:type="gramEnd"/>
      <w:r>
        <w:rPr>
          <w:rFonts w:ascii="Arial" w:hAnsi="Arial" w:cs="Arial"/>
        </w:rPr>
        <w:t xml:space="preserve"> = start : A, end : D, middle : C, not : B</w:t>
      </w:r>
    </w:p>
    <w:p w:rsidR="00A26FAF" w:rsidRDefault="00A26FAF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Query 2 = </w:t>
      </w:r>
      <w:proofErr w:type="gramStart"/>
      <w:r>
        <w:rPr>
          <w:rFonts w:ascii="Arial" w:hAnsi="Arial" w:cs="Arial"/>
        </w:rPr>
        <w:t>start :</w:t>
      </w:r>
      <w:proofErr w:type="gramEnd"/>
      <w:r>
        <w:rPr>
          <w:rFonts w:ascii="Arial" w:hAnsi="Arial" w:cs="Arial"/>
        </w:rPr>
        <w:t xml:space="preserve"> G or </w:t>
      </w:r>
      <w:proofErr w:type="spellStart"/>
      <w:r>
        <w:rPr>
          <w:rFonts w:ascii="Arial" w:hAnsi="Arial" w:cs="Arial"/>
        </w:rPr>
        <w:t>tmpq</w:t>
      </w:r>
      <w:proofErr w:type="spellEnd"/>
      <w:r>
        <w:rPr>
          <w:rFonts w:ascii="Arial" w:hAnsi="Arial" w:cs="Arial"/>
        </w:rPr>
        <w:t>, end : K</w:t>
      </w:r>
    </w:p>
    <w:p w:rsidR="00A26FAF" w:rsidRDefault="00A26FAF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Then Query 2 will match the following</w:t>
      </w:r>
    </w:p>
    <w:p w:rsidR="00A26FAF" w:rsidRDefault="00A26FAF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GK</w:t>
      </w:r>
    </w:p>
    <w:p w:rsidR="00A26FAF" w:rsidRDefault="00F058FA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ACDK</w:t>
      </w:r>
    </w:p>
    <w:p w:rsidR="00F058FA" w:rsidRDefault="00F058FA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ACDXXXK</w:t>
      </w:r>
    </w:p>
    <w:p w:rsidR="00F058FA" w:rsidRDefault="00F058FA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Query 2 will not match the following</w:t>
      </w:r>
    </w:p>
    <w:p w:rsidR="00F058FA" w:rsidRDefault="00F058FA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ACBDK</w:t>
      </w:r>
    </w:p>
    <w:p w:rsidR="00F058FA" w:rsidRDefault="00F058FA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ACD</w:t>
      </w:r>
    </w:p>
    <w:p w:rsidR="0038737B" w:rsidRDefault="0038737B" w:rsidP="00F71C3C">
      <w:pPr>
        <w:jc w:val="both"/>
        <w:rPr>
          <w:rFonts w:ascii="Arial" w:hAnsi="Arial" w:cs="Arial"/>
          <w:sz w:val="28"/>
          <w:szCs w:val="28"/>
        </w:rPr>
      </w:pPr>
    </w:p>
    <w:p w:rsidR="00F058FA" w:rsidRPr="007250DC" w:rsidRDefault="00F058FA" w:rsidP="00F71C3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Implementation and API using python</w:t>
      </w:r>
    </w:p>
    <w:p w:rsidR="007250DC" w:rsidRDefault="00F058FA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query can be implemented in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or python. In this document python examples are given</w:t>
      </w:r>
    </w:p>
    <w:p w:rsidR="00F058FA" w:rsidRDefault="00F058FA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query is implemented as a python dictionary or a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hash. The keys of this 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 xml:space="preserve"> are start, end, middle and not</w:t>
      </w:r>
    </w:p>
    <w:p w:rsidR="00F058FA" w:rsidRDefault="00F058FA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Markers are implemented as a single function, or an array of functions or queries. This will be clear from the examples. </w:t>
      </w:r>
    </w:p>
    <w:p w:rsidR="00C36379" w:rsidRDefault="00C36379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use the query API, only one file </w:t>
      </w:r>
      <w:proofErr w:type="gramStart"/>
      <w:r>
        <w:rPr>
          <w:rFonts w:ascii="Arial" w:hAnsi="Arial" w:cs="Arial"/>
        </w:rPr>
        <w:t>need</w:t>
      </w:r>
      <w:proofErr w:type="gramEnd"/>
      <w:r>
        <w:rPr>
          <w:rFonts w:ascii="Arial" w:hAnsi="Arial" w:cs="Arial"/>
        </w:rPr>
        <w:t xml:space="preserve"> to be included in your script. In python the file is TagLog.py and in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TagLog.pm</w:t>
      </w:r>
    </w:p>
    <w:p w:rsidR="00F058FA" w:rsidRDefault="00C36379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may be slight differences in the interfaces between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and python APIs. </w:t>
      </w:r>
    </w:p>
    <w:p w:rsidR="003679C4" w:rsidRDefault="003679C4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log file is converted from the </w:t>
      </w:r>
      <w:proofErr w:type="spellStart"/>
      <w:r>
        <w:rPr>
          <w:rFonts w:ascii="Arial" w:hAnsi="Arial" w:cs="Arial"/>
        </w:rPr>
        <w:t>armlog</w:t>
      </w:r>
      <w:proofErr w:type="spellEnd"/>
      <w:r>
        <w:rPr>
          <w:rFonts w:ascii="Arial" w:hAnsi="Arial" w:cs="Arial"/>
        </w:rPr>
        <w:t xml:space="preserve"> using another tool. The documentation for that tool is not included here. We assume that we have a log file. </w:t>
      </w:r>
    </w:p>
    <w:p w:rsidR="003679C4" w:rsidRDefault="003679C4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load a file use:</w:t>
      </w:r>
    </w:p>
    <w:p w:rsidR="003679C4" w:rsidRDefault="003679C4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 = </w:t>
      </w:r>
      <w:proofErr w:type="spellStart"/>
      <w:proofErr w:type="gramStart"/>
      <w:r>
        <w:rPr>
          <w:rFonts w:ascii="Arial" w:hAnsi="Arial" w:cs="Arial"/>
        </w:rPr>
        <w:t>TagLog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 filename )</w:t>
      </w:r>
    </w:p>
    <w:p w:rsidR="003679C4" w:rsidRDefault="003679C4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 we have a log file “log.tag”. To load the file into the script use:</w:t>
      </w:r>
    </w:p>
    <w:p w:rsidR="003679C4" w:rsidRDefault="003679C4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 = </w:t>
      </w:r>
      <w:proofErr w:type="spellStart"/>
      <w:proofErr w:type="gramStart"/>
      <w:r>
        <w:rPr>
          <w:rFonts w:ascii="Arial" w:hAnsi="Arial" w:cs="Arial"/>
        </w:rPr>
        <w:t>TagLog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 “log.tag” ) </w:t>
      </w:r>
    </w:p>
    <w:p w:rsidR="003679C4" w:rsidRDefault="003679C4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query is specified as a </w:t>
      </w:r>
      <w:proofErr w:type="spellStart"/>
      <w:r>
        <w:rPr>
          <w:rFonts w:ascii="Arial" w:hAnsi="Arial" w:cs="Arial"/>
        </w:rPr>
        <w:t>dict</w:t>
      </w:r>
      <w:proofErr w:type="spellEnd"/>
      <w:r w:rsidR="007F375A">
        <w:rPr>
          <w:rFonts w:ascii="Arial" w:hAnsi="Arial" w:cs="Arial"/>
        </w:rPr>
        <w:t xml:space="preserve"> and markers as functions:</w:t>
      </w:r>
    </w:p>
    <w:p w:rsidR="0038737B" w:rsidRDefault="007F375A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 </w:t>
      </w:r>
      <w:r w:rsidR="0038737B">
        <w:rPr>
          <w:rFonts w:ascii="Arial" w:hAnsi="Arial" w:cs="Arial"/>
        </w:rPr>
        <w:t>the example files:</w:t>
      </w:r>
    </w:p>
    <w:p w:rsidR="0038737B" w:rsidRDefault="0038737B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Example_</w:t>
      </w:r>
      <w:proofErr w:type="gramStart"/>
      <w:r>
        <w:rPr>
          <w:rFonts w:ascii="Arial" w:hAnsi="Arial" w:cs="Arial"/>
        </w:rPr>
        <w:t>log.tag  is</w:t>
      </w:r>
      <w:proofErr w:type="gramEnd"/>
      <w:r>
        <w:rPr>
          <w:rFonts w:ascii="Arial" w:hAnsi="Arial" w:cs="Arial"/>
        </w:rPr>
        <w:t xml:space="preserve"> log created for testing.</w:t>
      </w:r>
    </w:p>
    <w:p w:rsidR="007F375A" w:rsidRDefault="0038737B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Test.py has example queries</w:t>
      </w:r>
      <w:r w:rsidR="007F375A">
        <w:rPr>
          <w:rFonts w:ascii="Arial" w:hAnsi="Arial" w:cs="Arial"/>
        </w:rPr>
        <w:t xml:space="preserve"> </w:t>
      </w:r>
    </w:p>
    <w:p w:rsidR="0038737B" w:rsidRDefault="0038737B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TalLog.py had the search module. </w:t>
      </w:r>
    </w:p>
    <w:p w:rsidR="003679C4" w:rsidRDefault="003679C4" w:rsidP="00F71C3C">
      <w:pPr>
        <w:jc w:val="both"/>
        <w:rPr>
          <w:rFonts w:ascii="Arial" w:hAnsi="Arial" w:cs="Arial"/>
        </w:rPr>
      </w:pPr>
    </w:p>
    <w:p w:rsidR="00F058FA" w:rsidRDefault="00F058FA" w:rsidP="00F71C3C">
      <w:pPr>
        <w:jc w:val="both"/>
        <w:rPr>
          <w:rFonts w:ascii="Arial" w:hAnsi="Arial" w:cs="Arial"/>
        </w:rPr>
      </w:pPr>
    </w:p>
    <w:p w:rsidR="00F058FA" w:rsidRDefault="00F058FA" w:rsidP="00F71C3C">
      <w:pPr>
        <w:jc w:val="both"/>
        <w:rPr>
          <w:rFonts w:ascii="Arial" w:hAnsi="Arial" w:cs="Arial"/>
        </w:rPr>
      </w:pPr>
    </w:p>
    <w:p w:rsidR="00F058FA" w:rsidRDefault="00F058FA" w:rsidP="00F71C3C">
      <w:pPr>
        <w:jc w:val="both"/>
        <w:rPr>
          <w:rFonts w:ascii="Arial" w:hAnsi="Arial" w:cs="Arial"/>
        </w:rPr>
      </w:pPr>
    </w:p>
    <w:p w:rsidR="00F058FA" w:rsidRDefault="00F058FA" w:rsidP="00F71C3C">
      <w:pPr>
        <w:jc w:val="both"/>
        <w:rPr>
          <w:rFonts w:ascii="Arial" w:hAnsi="Arial" w:cs="Arial"/>
        </w:rPr>
      </w:pPr>
    </w:p>
    <w:p w:rsidR="00C854DF" w:rsidRDefault="008908FB" w:rsidP="00F71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854DF" w:rsidRPr="00607F6D" w:rsidRDefault="00C854DF" w:rsidP="00F71C3C">
      <w:pPr>
        <w:jc w:val="both"/>
        <w:rPr>
          <w:rFonts w:ascii="Arial" w:hAnsi="Arial" w:cs="Arial"/>
          <w:sz w:val="28"/>
          <w:szCs w:val="28"/>
        </w:rPr>
      </w:pPr>
    </w:p>
    <w:p w:rsidR="00607F6D" w:rsidRPr="00607F6D" w:rsidRDefault="00607F6D" w:rsidP="00F71C3C">
      <w:pPr>
        <w:jc w:val="both"/>
        <w:rPr>
          <w:rFonts w:ascii="Arial" w:hAnsi="Arial" w:cs="Arial"/>
        </w:rPr>
      </w:pPr>
    </w:p>
    <w:sectPr w:rsidR="00607F6D" w:rsidRPr="00607F6D" w:rsidSect="005E0C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A0D4F"/>
    <w:multiLevelType w:val="hybridMultilevel"/>
    <w:tmpl w:val="C80A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7F6D"/>
    <w:rsid w:val="00063DF9"/>
    <w:rsid w:val="001D21F3"/>
    <w:rsid w:val="001E60C8"/>
    <w:rsid w:val="003679C4"/>
    <w:rsid w:val="0038737B"/>
    <w:rsid w:val="004F768B"/>
    <w:rsid w:val="005E0C24"/>
    <w:rsid w:val="00607F6D"/>
    <w:rsid w:val="007250DC"/>
    <w:rsid w:val="007F375A"/>
    <w:rsid w:val="008259E4"/>
    <w:rsid w:val="008908FB"/>
    <w:rsid w:val="00A26FAF"/>
    <w:rsid w:val="00C36379"/>
    <w:rsid w:val="00C7338B"/>
    <w:rsid w:val="00C854DF"/>
    <w:rsid w:val="00D804CE"/>
    <w:rsid w:val="00F058FA"/>
    <w:rsid w:val="00F30FB6"/>
    <w:rsid w:val="00F7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F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5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0D13B-2C69-4D8C-80CD-05997A0E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4541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Vijayasenan</dc:creator>
  <cp:keywords/>
  <dc:description/>
  <cp:lastModifiedBy>Bipin Vijayasenan</cp:lastModifiedBy>
  <cp:revision>9</cp:revision>
  <dcterms:created xsi:type="dcterms:W3CDTF">2013-09-26T02:26:00Z</dcterms:created>
  <dcterms:modified xsi:type="dcterms:W3CDTF">2013-09-29T06:07:00Z</dcterms:modified>
</cp:coreProperties>
</file>