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b/>
          <w:bCs/>
          <w:color w:val="2F5496"/>
          <w:sz w:val="56"/>
          <w:szCs w:val="56"/>
        </w:rPr>
        <w:t xml:space="preserve">SERIES TV API</w:t>
      </w:r>
    </w:p>
    <w:p>
      <w:pPr>
        <w:spacing w:after="100"/>
        <w:jc w:val="center"/>
      </w:pPr>
      <w:r>
        <w:rPr>
          <w:color w:val="1F3864"/>
          <w:sz w:val="32"/>
          <w:szCs w:val="32"/>
        </w:rPr>
        <w:t xml:space="preserve">Dossier de modélisation et d'analyse</w:t>
      </w:r>
    </w:p>
    <w:p>
      <w:pPr>
        <w:spacing w:after="1200"/>
        <w:jc w:val="center"/>
      </w:pPr>
      <w:r>
        <w:rPr>
          <w:i/>
          <w:iCs/>
          <w:color w:val="595959"/>
          <w:sz w:val="24"/>
          <w:szCs w:val="24"/>
        </w:rPr>
        <w:t xml:space="preserve">API REST de suivi de séries TV — Spring Boot / MySQL</w:t>
      </w:r>
    </w:p>
    <w:p>
      <w:pPr>
        <w:spacing w:after="100"/>
        <w:jc w:val="center"/>
      </w:pPr>
      <w:r>
        <w:rPr>
          <w:color w:val="595959"/>
          <w:sz w:val="24"/>
          <w:szCs w:val="24"/>
        </w:rPr>
        <w:t xml:space="preserve">Projet académique — Examen de Java avancé</w:t>
      </w:r>
    </w:p>
    <w:p>
      <w:pPr>
        <w:spacing w:after="100"/>
        <w:jc w:val="center"/>
      </w:pPr>
      <w:r>
        <w:rPr>
          <w:color w:val="595959"/>
          <w:sz w:val="24"/>
          <w:szCs w:val="24"/>
        </w:rPr>
        <w:t xml:space="preserve">Réalisé par : Jerome</w:t>
      </w:r>
    </w:p>
    <w:p>
      <w:pPr>
        <w:jc w:val="center"/>
      </w:pPr>
      <w:r>
        <w:rPr>
          <w:color w:val="595959"/>
          <w:sz w:val="24"/>
          <w:szCs w:val="24"/>
        </w:rPr>
        <w:t xml:space="preserve">Année académique 2025 – 2026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Introduction</w:t>
      </w:r>
    </w:p>
    <w:p>
      <w:pPr>
        <w:spacing w:after="160"/>
      </w:pPr>
      <w:r>
        <w:t xml:space="preserve">Ce document présente la modélisation et l'analyse du projet « Series TV API », réalisé dans le cadre de l'examen de Java avancé. L'objectif est de fournir une API REST permettant à un utilisateur de gérer sa liste de séries télévisées, de suivre sa progression épisode par épisode, et de découvrir de nouvelles séries via un enrichissement provenant d'une source externe (TMDB).</w:t>
      </w:r>
    </w:p>
    <w:p>
      <w:pPr>
        <w:spacing w:after="160"/>
      </w:pPr>
      <w:r>
        <w:t xml:space="preserve">Le projet suit une architecture en couches classique — Controller, Service, Repository — conforme aux exigences pédagogiques du cours, sans recourir à des patterns d'architecture avancés (pas de microservices, pas de CQRS, pas de messagerie asynchrone).</w:t>
      </w:r>
    </w:p>
    <w:p>
      <w:pPr>
        <w:pStyle w:val="Heading2"/>
        <w:spacing w:after="150" w:before="300"/>
      </w:pPr>
      <w:r>
        <w:t xml:space="preserve">1.1 Objectifs du projet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Permettre la gestion complète d'une liste personnelle de séries (CRUD)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Suivre la progression de visionnage saison par saison, épisode par épisode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Calculer automatiquement des indicateurs de progression et de temps de visionnage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Empêcher les incohérences métier (ex. : marquer deux fois le même épisode comme vu)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Enrichir l'application avec des données réelles issues de TMDB</w:t>
      </w:r>
    </w:p>
    <w:p>
      <w:pPr>
        <w:pStyle w:val="Heading2"/>
        <w:spacing w:after="150" w:before="300"/>
      </w:pPr>
      <w:r>
        <w:t xml:space="preserve">1.2 Périmètre technique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635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Choix technique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Langage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Java 21</w:t>
            </w:r>
          </w:p>
        </w:tc>
      </w:tr>
      <w:tr>
        <w:tc>
          <w:tcPr>
            <w:tcW w:type="dxa" w:w="30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Framework</w:t>
            </w:r>
          </w:p>
        </w:tc>
        <w:tc>
          <w:tcPr>
            <w:tcW w:type="dxa" w:w="635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Spring Boot 3.5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Base de données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MySQL 8 (via XAMPP, localhost:3306)</w:t>
            </w:r>
          </w:p>
        </w:tc>
      </w:tr>
      <w:tr>
        <w:tc>
          <w:tcPr>
            <w:tcW w:type="dxa" w:w="30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Persistance</w:t>
            </w:r>
          </w:p>
        </w:tc>
        <w:tc>
          <w:tcPr>
            <w:tcW w:type="dxa" w:w="635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Spring Data JPA / Hibernate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 HTTP externe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RestClient (Spring 6.1+)</w:t>
            </w:r>
          </w:p>
        </w:tc>
      </w:tr>
      <w:tr>
        <w:tc>
          <w:tcPr>
            <w:tcW w:type="dxa" w:w="30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Génération de code</w:t>
            </w:r>
          </w:p>
        </w:tc>
        <w:tc>
          <w:tcPr>
            <w:tcW w:type="dxa" w:w="635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Lombok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Controller – Service – Repository</w:t>
            </w:r>
          </w:p>
        </w:tc>
      </w:tr>
    </w:tbl>
    <w:p>
      <w:pPr>
        <w:pStyle w:val="Heading1"/>
        <w:spacing w:after="200" w:before="400"/>
      </w:pPr>
      <w:r>
        <w:t xml:space="preserve">2. Analyse fonctionnelle</w:t>
      </w:r>
    </w:p>
    <w:p>
      <w:pPr>
        <w:pStyle w:val="Heading2"/>
        <w:spacing w:after="150" w:before="300"/>
      </w:pPr>
      <w:r>
        <w:t xml:space="preserve">2.1 Acteur principal</w:t>
      </w:r>
    </w:p>
    <w:p>
      <w:pPr>
        <w:spacing w:after="160"/>
      </w:pPr>
      <w:r>
        <w:t xml:space="preserve">Le système comporte un seul acteur humain : l'Utilisateur, qui consulte et gère ses séries. Un acteur secondaire, purement technique, est le service externe TMDB, sollicité pour l'enrichissement des données.</w:t>
      </w:r>
    </w:p>
    <w:p>
      <w:pPr>
        <w:pStyle w:val="Heading2"/>
        <w:spacing w:after="150" w:before="300"/>
      </w:pPr>
      <w:r>
        <w:t xml:space="preserve">2.2 Cas d'utilisation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50"/>
      </w:tblGrid>
      <w:tr>
        <w:trPr>
          <w:tblHeader/>
        </w:trPr>
        <w:tc>
          <w:tcPr>
            <w:tcW w:type="dxa" w:w="33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 d'utilisation</w:t>
            </w:r>
          </w:p>
        </w:tc>
        <w:tc>
          <w:tcPr>
            <w:tcW w:type="dxa" w:w="605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Gérer les séries</w:t>
            </w:r>
          </w:p>
        </w:tc>
        <w:tc>
          <w:tcPr>
            <w:tcW w:type="dxa" w:w="6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Ajouter, modifier, supprimer et lister ses séries</w:t>
            </w:r>
          </w:p>
        </w:tc>
      </w:tr>
      <w:tr>
        <w:tc>
          <w:tcPr>
            <w:tcW w:type="dxa" w:w="33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Consulter les saisons/épisodes</w:t>
            </w:r>
          </w:p>
        </w:tc>
        <w:tc>
          <w:tcPr>
            <w:tcW w:type="dxa" w:w="605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Parcourir la structure d'une série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Marquer un épisode comme vu</w:t>
            </w:r>
          </w:p>
        </w:tc>
        <w:tc>
          <w:tcPr>
            <w:tcW w:type="dxa" w:w="6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Enregistrer un visionnage et mettre à jour la progression</w:t>
            </w:r>
          </w:p>
        </w:tc>
      </w:tr>
      <w:tr>
        <w:tc>
          <w:tcPr>
            <w:tcW w:type="dxa" w:w="33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Annuler un visionnage</w:t>
            </w:r>
          </w:p>
        </w:tc>
        <w:tc>
          <w:tcPr>
            <w:tcW w:type="dxa" w:w="605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Retirer un épisode de la liste des épisodes vus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Suivre sa progression</w:t>
            </w:r>
          </w:p>
        </w:tc>
        <w:tc>
          <w:tcPr>
            <w:tcW w:type="dxa" w:w="6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Voir le pourcentage d'avancement et le temps restant par série</w:t>
            </w:r>
          </w:p>
        </w:tc>
      </w:tr>
      <w:tr>
        <w:tc>
          <w:tcPr>
            <w:tcW w:type="dxa" w:w="33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Lister séries en cours / terminées / à commencer</w:t>
            </w:r>
          </w:p>
        </w:tc>
        <w:tc>
          <w:tcPr>
            <w:tcW w:type="dxa" w:w="605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Filtrer ses séries par statut de progression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Rechercher une série (TMDB)</w:t>
            </w:r>
          </w:p>
        </w:tc>
        <w:tc>
          <w:tcPr>
            <w:tcW w:type="dxa" w:w="6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Retrouver une série par titre via l'API externe</w:t>
            </w:r>
          </w:p>
        </w:tc>
      </w:tr>
      <w:tr>
        <w:tc>
          <w:tcPr>
            <w:tcW w:type="dxa" w:w="33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Découvrir des séries populaires/similaires</w:t>
            </w:r>
          </w:p>
        </w:tc>
        <w:tc>
          <w:tcPr>
            <w:tcW w:type="dxa" w:w="605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Explorer de nouvelles séries via TMDB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Importer une série TMDB</w:t>
            </w:r>
          </w:p>
        </w:tc>
        <w:tc>
          <w:tcPr>
            <w:tcW w:type="dxa" w:w="6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Copier une série TMDB dans la base locale</w:t>
            </w:r>
          </w:p>
        </w:tc>
      </w:tr>
    </w:tbl>
    <w:p>
      <w:pPr>
        <w:pStyle w:val="Heading1"/>
        <w:spacing w:after="200" w:before="400"/>
      </w:pPr>
      <w:r>
        <w:t xml:space="preserve">3. Règles de gestion (règles métier)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RG1 — Un épisode ne peut être marqué comme vu qu'une seule fois par utilisateur (contrainte unique utilisateur/épisode).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RG2 — Lorsque le dernier épisode d'une saison est vu, le système signale que la saison est terminée et propose de passer à la suivante.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RG3 — La progression d'une série se calcule comme : (épisodes vus / total épisodes) × 100.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RG4 — Le temps de visionnage total d'une série est la somme des durées des épisodes vus.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RG5 — Le temps restant est la somme des durées des épisodes non vus.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RG6 — Une série est « à commencer » si progression = 0 %, « en cours » si 0 % &lt; progression &lt; 100 %, « terminée » si progression = 100 %.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RG7 — L'import d'une série TMDB déjà présente en base (même tmdbId) ne doit pas créer de doublon.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Modélisation des données</w:t>
      </w:r>
    </w:p>
    <w:p>
      <w:pPr>
        <w:spacing w:after="160"/>
      </w:pPr>
      <w:r>
        <w:t xml:space="preserve">Le modèle de données repose sur cinq entités JPA. La table Visionnage matérialise explicitement la relation many-to-many entre Utilisateur et Episode, afin de pouvoir dater chaque visionnage.</w:t>
      </w:r>
    </w:p>
    <w:p>
      <w:pPr>
        <w:spacing w:after="300" w:before="200"/>
        <w:jc w:val="center"/>
      </w:pPr>
      <w:r>
        <w:drawing>
          <wp:inline distT="0" distB="0" distL="0" distR="0">
            <wp:extent cx="5715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Figure 1 — Modèle Entité-Association du projet Series TV API</w:t>
      </w:r>
    </w:p>
    <w:p>
      <w:pPr>
        <w:pStyle w:val="Heading2"/>
        <w:spacing w:after="150" w:before="300"/>
      </w:pPr>
      <w:r>
        <w:t xml:space="preserve">4.1 Description des entités</w:t>
      </w:r>
    </w:p>
    <w:p>
      <w:pPr>
        <w:spacing w:after="160"/>
      </w:pPr>
      <w:r>
        <w:rPr>
          <w:b/>
          <w:bCs/>
        </w:rPr>
        <w:t xml:space="preserve">Serie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4450"/>
      </w:tblGrid>
      <w:tr>
        <w:trPr>
          <w:tblHeader/>
        </w:trPr>
        <w:tc>
          <w:tcPr>
            <w:tcW w:type="dxa" w:w="27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</w:t>
            </w:r>
          </w:p>
        </w:tc>
        <w:tc>
          <w:tcPr>
            <w:tcW w:type="dxa" w:w="2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45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Contrainte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Long</w:t>
            </w:r>
          </w:p>
        </w:tc>
        <w:tc>
          <w:tcPr>
            <w:tcW w:type="dxa" w:w="4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Clé primaire, auto-incrémentée</w:t>
            </w:r>
          </w:p>
        </w:tc>
      </w:tr>
      <w:tr>
        <w:tc>
          <w:tcPr>
            <w:tcW w:type="dxa" w:w="27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titre</w:t>
            </w:r>
          </w:p>
        </w:tc>
        <w:tc>
          <w:tcPr>
            <w:tcW w:type="dxa" w:w="22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445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 nul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genre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4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7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2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 (TEXT)</w:t>
            </w:r>
          </w:p>
        </w:tc>
        <w:tc>
          <w:tcPr>
            <w:tcW w:type="dxa" w:w="445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anneeSortie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4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7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note</w:t>
            </w:r>
          </w:p>
        </w:tc>
        <w:tc>
          <w:tcPr>
            <w:tcW w:type="dxa" w:w="22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Double</w:t>
            </w:r>
          </w:p>
        </w:tc>
        <w:tc>
          <w:tcPr>
            <w:tcW w:type="dxa" w:w="445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imageUrl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4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7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tmdbId</w:t>
            </w:r>
          </w:p>
        </w:tc>
        <w:tc>
          <w:tcPr>
            <w:tcW w:type="dxa" w:w="22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Long</w:t>
            </w:r>
          </w:p>
        </w:tc>
        <w:tc>
          <w:tcPr>
            <w:tcW w:type="dxa" w:w="445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Référence à la série TMDB source (import)</w:t>
            </w:r>
          </w:p>
        </w:tc>
      </w:tr>
    </w:tbl>
    <w:p>
      <w:pPr>
        <w:spacing w:after="160"/>
      </w:pPr>
      <w:r>
        <w:rPr>
          <w:b/>
          <w:bCs/>
        </w:rPr>
        <w:t xml:space="preserve">Saison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4450"/>
      </w:tblGrid>
      <w:tr>
        <w:trPr>
          <w:tblHeader/>
        </w:trPr>
        <w:tc>
          <w:tcPr>
            <w:tcW w:type="dxa" w:w="27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</w:t>
            </w:r>
          </w:p>
        </w:tc>
        <w:tc>
          <w:tcPr>
            <w:tcW w:type="dxa" w:w="2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45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Contrainte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Long</w:t>
            </w:r>
          </w:p>
        </w:tc>
        <w:tc>
          <w:tcPr>
            <w:tcW w:type="dxa" w:w="4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Clé primaire</w:t>
            </w:r>
          </w:p>
        </w:tc>
      </w:tr>
      <w:tr>
        <w:tc>
          <w:tcPr>
            <w:tcW w:type="dxa" w:w="27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numero</w:t>
            </w:r>
          </w:p>
        </w:tc>
        <w:tc>
          <w:tcPr>
            <w:tcW w:type="dxa" w:w="22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445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 nul, unique par série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nbEpisodes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4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7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serie_id</w:t>
            </w:r>
          </w:p>
        </w:tc>
        <w:tc>
          <w:tcPr>
            <w:tcW w:type="dxa" w:w="22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FK → Serie</w:t>
            </w:r>
          </w:p>
        </w:tc>
        <w:tc>
          <w:tcPr>
            <w:tcW w:type="dxa" w:w="445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 nul</w:t>
            </w:r>
          </w:p>
        </w:tc>
      </w:tr>
    </w:tbl>
    <w:p>
      <w:pPr>
        <w:spacing w:after="160"/>
      </w:pPr>
      <w:r>
        <w:rPr>
          <w:b/>
          <w:bCs/>
        </w:rPr>
        <w:t xml:space="preserve">Episode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4450"/>
      </w:tblGrid>
      <w:tr>
        <w:trPr>
          <w:tblHeader/>
        </w:trPr>
        <w:tc>
          <w:tcPr>
            <w:tcW w:type="dxa" w:w="27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</w:t>
            </w:r>
          </w:p>
        </w:tc>
        <w:tc>
          <w:tcPr>
            <w:tcW w:type="dxa" w:w="2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45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Contrainte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Long</w:t>
            </w:r>
          </w:p>
        </w:tc>
        <w:tc>
          <w:tcPr>
            <w:tcW w:type="dxa" w:w="4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Clé primaire</w:t>
            </w:r>
          </w:p>
        </w:tc>
      </w:tr>
      <w:tr>
        <w:tc>
          <w:tcPr>
            <w:tcW w:type="dxa" w:w="27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numero</w:t>
            </w:r>
          </w:p>
        </w:tc>
        <w:tc>
          <w:tcPr>
            <w:tcW w:type="dxa" w:w="22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445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 nul, unique par saison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titre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4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7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dureeMinutes</w:t>
            </w:r>
          </w:p>
        </w:tc>
        <w:tc>
          <w:tcPr>
            <w:tcW w:type="dxa" w:w="22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445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saison_id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FK → Saison</w:t>
            </w:r>
          </w:p>
        </w:tc>
        <w:tc>
          <w:tcPr>
            <w:tcW w:type="dxa" w:w="4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 nul</w:t>
            </w:r>
          </w:p>
        </w:tc>
      </w:tr>
    </w:tbl>
    <w:p>
      <w:pPr>
        <w:spacing w:after="160"/>
      </w:pPr>
      <w:r>
        <w:rPr>
          <w:b/>
          <w:bCs/>
        </w:rPr>
        <w:t xml:space="preserve">Utilisateur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4450"/>
      </w:tblGrid>
      <w:tr>
        <w:trPr>
          <w:tblHeader/>
        </w:trPr>
        <w:tc>
          <w:tcPr>
            <w:tcW w:type="dxa" w:w="27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</w:t>
            </w:r>
          </w:p>
        </w:tc>
        <w:tc>
          <w:tcPr>
            <w:tcW w:type="dxa" w:w="2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45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Contrainte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Long</w:t>
            </w:r>
          </w:p>
        </w:tc>
        <w:tc>
          <w:tcPr>
            <w:tcW w:type="dxa" w:w="4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Clé primaire</w:t>
            </w:r>
          </w:p>
        </w:tc>
      </w:tr>
      <w:tr>
        <w:tc>
          <w:tcPr>
            <w:tcW w:type="dxa" w:w="27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pseudo</w:t>
            </w:r>
          </w:p>
        </w:tc>
        <w:tc>
          <w:tcPr>
            <w:tcW w:type="dxa" w:w="22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445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 nul, unique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email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4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 nul, unique</w:t>
            </w:r>
          </w:p>
        </w:tc>
      </w:tr>
    </w:tbl>
    <w:p>
      <w:pPr>
        <w:spacing w:after="160"/>
      </w:pPr>
      <w:r>
        <w:rPr>
          <w:b/>
          <w:bCs/>
        </w:rPr>
        <w:t xml:space="preserve">Visionnage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4450"/>
      </w:tblGrid>
      <w:tr>
        <w:trPr>
          <w:tblHeader/>
        </w:trPr>
        <w:tc>
          <w:tcPr>
            <w:tcW w:type="dxa" w:w="27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</w:t>
            </w:r>
          </w:p>
        </w:tc>
        <w:tc>
          <w:tcPr>
            <w:tcW w:type="dxa" w:w="2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45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Contrainte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Long</w:t>
            </w:r>
          </w:p>
        </w:tc>
        <w:tc>
          <w:tcPr>
            <w:tcW w:type="dxa" w:w="4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Clé primaire</w:t>
            </w:r>
          </w:p>
        </w:tc>
      </w:tr>
      <w:tr>
        <w:tc>
          <w:tcPr>
            <w:tcW w:type="dxa" w:w="27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utilisateur_id</w:t>
            </w:r>
          </w:p>
        </w:tc>
        <w:tc>
          <w:tcPr>
            <w:tcW w:type="dxa" w:w="22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FK → Utilisateur</w:t>
            </w:r>
          </w:p>
        </w:tc>
        <w:tc>
          <w:tcPr>
            <w:tcW w:type="dxa" w:w="445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 nul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episode_id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FK → Episode</w:t>
            </w:r>
          </w:p>
        </w:tc>
        <w:tc>
          <w:tcPr>
            <w:tcW w:type="dxa" w:w="4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 nul</w:t>
            </w:r>
          </w:p>
        </w:tc>
      </w:tr>
      <w:tr>
        <w:tc>
          <w:tcPr>
            <w:tcW w:type="dxa" w:w="27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dateVisionnage</w:t>
            </w:r>
          </w:p>
        </w:tc>
        <w:tc>
          <w:tcPr>
            <w:tcW w:type="dxa" w:w="22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DateTime</w:t>
            </w:r>
          </w:p>
        </w:tc>
        <w:tc>
          <w:tcPr>
            <w:tcW w:type="dxa" w:w="445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 nul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Unique (utilisateur_id, episode_id) — RG1</w:t>
            </w:r>
          </w:p>
        </w:tc>
      </w:tr>
    </w:tbl>
    <w:p>
      <w:pPr>
        <w:pStyle w:val="Heading2"/>
        <w:spacing w:after="150" w:before="300"/>
      </w:pPr>
      <w:r>
        <w:t xml:space="preserve">4.2 Relations entre entités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200"/>
        <w:gridCol w:w="2850"/>
      </w:tblGrid>
      <w:tr>
        <w:trPr>
          <w:tblHeader/>
        </w:trPr>
        <w:tc>
          <w:tcPr>
            <w:tcW w:type="dxa" w:w="33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Relation</w:t>
            </w:r>
          </w:p>
        </w:tc>
        <w:tc>
          <w:tcPr>
            <w:tcW w:type="dxa" w:w="3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Cardinalité</w:t>
            </w:r>
          </w:p>
        </w:tc>
        <w:tc>
          <w:tcPr>
            <w:tcW w:type="dxa" w:w="285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 JPA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Serie → Saison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série a n saisons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@OneToMany / @ManyToOne</w:t>
            </w:r>
          </w:p>
        </w:tc>
      </w:tr>
      <w:tr>
        <w:tc>
          <w:tcPr>
            <w:tcW w:type="dxa" w:w="33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Saison → Episode</w:t>
            </w:r>
          </w:p>
        </w:tc>
        <w:tc>
          <w:tcPr>
            <w:tcW w:type="dxa" w:w="32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saison a n épisodes</w:t>
            </w:r>
          </w:p>
        </w:tc>
        <w:tc>
          <w:tcPr>
            <w:tcW w:type="dxa" w:w="285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@OneToMany / @ManyToOne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Utilisateur → Visionnage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utilisateur a n visionnages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@OneToMany / @ManyToOne</w:t>
            </w:r>
          </w:p>
        </w:tc>
      </w:tr>
      <w:tr>
        <w:tc>
          <w:tcPr>
            <w:tcW w:type="dxa" w:w="33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Episode ↔ Utilisateur</w:t>
            </w:r>
          </w:p>
        </w:tc>
        <w:tc>
          <w:tcPr>
            <w:tcW w:type="dxa" w:w="32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n,n via Visionnage</w:t>
            </w:r>
          </w:p>
        </w:tc>
        <w:tc>
          <w:tcPr>
            <w:tcW w:type="dxa" w:w="285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Entité de jointure explicite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5. Architecture logicielle</w:t>
      </w:r>
    </w:p>
    <w:p>
      <w:pPr>
        <w:spacing w:after="160"/>
      </w:pPr>
      <w:r>
        <w:t xml:space="preserve">Le projet respecte une architecture en couches à trois niveaux, imposée par le cadre pédagogique du cours : Controller, Service, Repository. Chaque couche a une responsabilité unique et ne communique qu'avec la couche directement adjacente (loi de Déméter appliquée à l'échelle de l'architecture).</w:t>
      </w:r>
    </w:p>
    <w:p>
      <w:pPr>
        <w:spacing w:after="300" w:before="200"/>
        <w:jc w:val="center"/>
      </w:pPr>
      <w:r>
        <w:drawing>
          <wp:inline distT="0" distB="0" distL="0" distR="0">
            <wp:extent cx="5238750" cy="375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Figure 2 — Architecture en couches du projet</w:t>
      </w:r>
    </w:p>
    <w:p>
      <w:pPr>
        <w:pStyle w:val="Heading2"/>
        <w:spacing w:after="150" w:before="300"/>
      </w:pPr>
      <w:r>
        <w:t xml:space="preserve">5.1 Rôle de chaque couche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Couche</w:t>
            </w:r>
          </w:p>
        </w:tc>
        <w:tc>
          <w:tcPr>
            <w:tcW w:type="dxa" w:w="675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Responsabilité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Controller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Expose les endpoints REST, valide les DTO entrants, mappe les réponses HTTP</w:t>
            </w:r>
          </w:p>
        </w:tc>
      </w:tr>
      <w:tr>
        <w:tc>
          <w:tcPr>
            <w:tcW w:type="dxa" w:w="26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Service</w:t>
            </w:r>
          </w:p>
        </w:tc>
        <w:tc>
          <w:tcPr>
            <w:tcW w:type="dxa" w:w="675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Contient la logique métier (règles RG1 à RG7), orchestre les repositories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Repository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Interfaces Spring Data JPA, accès direct à la base MySQL</w:t>
            </w:r>
          </w:p>
        </w:tc>
      </w:tr>
      <w:tr>
        <w:tc>
          <w:tcPr>
            <w:tcW w:type="dxa" w:w="26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DTO / Mapper</w:t>
            </w:r>
          </w:p>
        </w:tc>
        <w:tc>
          <w:tcPr>
            <w:tcW w:type="dxa" w:w="675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Isolent les entités JPA de l'API publique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Exception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Gestion centralisée des erreurs via @ControllerAdvice</w:t>
            </w:r>
          </w:p>
        </w:tc>
      </w:tr>
      <w:tr>
        <w:tc>
          <w:tcPr>
            <w:tcW w:type="dxa" w:w="26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TmdbService</w:t>
            </w:r>
          </w:p>
        </w:tc>
        <w:tc>
          <w:tcPr>
            <w:tcW w:type="dxa" w:w="675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Service dédié à l'intégration de l'API externe TMDB</w:t>
            </w:r>
          </w:p>
        </w:tc>
      </w:tr>
    </w:tbl>
    <w:p>
      <w:pPr>
        <w:pStyle w:val="Heading2"/>
        <w:spacing w:after="150" w:before="300"/>
      </w:pPr>
      <w:r>
        <w:t xml:space="preserve">5.2 Structure des packages</w:t>
      </w:r>
    </w:p>
    <w:p>
      <w:pPr>
        <w:spacing w:after="160"/>
      </w:pPr>
      <w:r>
        <w:rPr>
          <w:b/>
          <w:bCs/>
        </w:rPr>
        <w:t xml:space="preserve">com.monprojet.series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controller — SerieController, SaisonController, EpisodeController, UtilisateurController, VisionnageController, TmdbController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service — SerieService, SaisonService, EpisodeService, UtilisateurService, VisionnageService, TmdbService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repository — SerieRepository, SaisonRepository, EpisodeRepository, UtilisateurRepository, VisionnageRepository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entity — Serie, Saison, Episode, Utilisateur, Visionnage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dto.request / dto.response — objets d'échange avec le client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mapper — conversion Entity ↔ DTO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exception — ResourceNotFoundException, BusinessException, GlobalExceptionHandler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config — TmdbConfig et configuration Spring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Modélisation des endpoints REST</w:t>
      </w:r>
    </w:p>
    <w:p>
      <w:pPr>
        <w:pStyle w:val="Heading2"/>
        <w:spacing w:after="150" w:before="300"/>
      </w:pPr>
      <w:r>
        <w:t xml:space="preserve">6.1 Séries, saisons, épisodes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50"/>
        <w:gridCol w:w="4500"/>
      </w:tblGrid>
      <w:tr>
        <w:trPr>
          <w:tblHeader/>
        </w:trPr>
        <w:tc>
          <w:tcPr>
            <w:tcW w:type="dxa" w:w="1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Méthode</w:t>
            </w:r>
          </w:p>
        </w:tc>
        <w:tc>
          <w:tcPr>
            <w:tcW w:type="dxa" w:w="345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/api/series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Lister toutes les séries</w:t>
            </w:r>
          </w:p>
        </w:tc>
      </w:tr>
      <w:tr>
        <w:tc>
          <w:tcPr>
            <w:tcW w:type="dxa" w:w="14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45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/api/series/{id}</w:t>
            </w:r>
          </w:p>
        </w:tc>
        <w:tc>
          <w:tcPr>
            <w:tcW w:type="dxa" w:w="45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Détail d'une série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/api/series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Créer une série</w:t>
            </w:r>
          </w:p>
        </w:tc>
      </w:tr>
      <w:tr>
        <w:tc>
          <w:tcPr>
            <w:tcW w:type="dxa" w:w="14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345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/api/series/{id}</w:t>
            </w:r>
          </w:p>
        </w:tc>
        <w:tc>
          <w:tcPr>
            <w:tcW w:type="dxa" w:w="45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Modifier une série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DELETE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/api/series/{id}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Supprimer une série</w:t>
            </w:r>
          </w:p>
        </w:tc>
      </w:tr>
      <w:tr>
        <w:tc>
          <w:tcPr>
            <w:tcW w:type="dxa" w:w="14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45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/api/series/{id}/saisons</w:t>
            </w:r>
          </w:p>
        </w:tc>
        <w:tc>
          <w:tcPr>
            <w:tcW w:type="dxa" w:w="45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Lister les saisons d'une série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/api/saisons/{id}/episodes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Lister les épisodes d'une saison</w:t>
            </w:r>
          </w:p>
        </w:tc>
      </w:tr>
      <w:tr>
        <w:tc>
          <w:tcPr>
            <w:tcW w:type="dxa" w:w="14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45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/api/saisons</w:t>
            </w:r>
          </w:p>
        </w:tc>
        <w:tc>
          <w:tcPr>
            <w:tcW w:type="dxa" w:w="45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Créer une saison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/api/episodes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Créer un épisode</w:t>
            </w:r>
          </w:p>
        </w:tc>
      </w:tr>
    </w:tbl>
    <w:p>
      <w:pPr>
        <w:pStyle w:val="Heading2"/>
        <w:spacing w:after="150" w:before="300"/>
      </w:pPr>
      <w:r>
        <w:t xml:space="preserve">6.2 Utilisateurs et visionnage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00"/>
        <w:gridCol w:w="3450"/>
      </w:tblGrid>
      <w:tr>
        <w:trPr>
          <w:tblHeader/>
        </w:trPr>
        <w:tc>
          <w:tcPr>
            <w:tcW w:type="dxa" w:w="1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Méthode</w:t>
            </w:r>
          </w:p>
        </w:tc>
        <w:tc>
          <w:tcPr>
            <w:tcW w:type="dxa" w:w="4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45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/api/utilisateurs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Lister les utilisateurs</w:t>
            </w:r>
          </w:p>
        </w:tc>
      </w:tr>
      <w:tr>
        <w:tc>
          <w:tcPr>
            <w:tcW w:type="dxa" w:w="14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5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/api/utilisateurs</w:t>
            </w:r>
          </w:p>
        </w:tc>
        <w:tc>
          <w:tcPr>
            <w:tcW w:type="dxa" w:w="345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Créer un utilisateur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/api/utilisateurs/{id}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Détail d'un utilisateur</w:t>
            </w:r>
          </w:p>
        </w:tc>
      </w:tr>
      <w:tr>
        <w:tc>
          <w:tcPr>
            <w:tcW w:type="dxa" w:w="14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5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/api/utilisateurs/{userId}/visionnages/{episodeId}</w:t>
            </w:r>
          </w:p>
        </w:tc>
        <w:tc>
          <w:tcPr>
            <w:tcW w:type="dxa" w:w="345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Marquer un épisode comme vu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DELETE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/api/utilisateurs/{userId}/visionnages/{episodeId}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Annuler un visionnage</w:t>
            </w:r>
          </w:p>
        </w:tc>
      </w:tr>
      <w:tr>
        <w:tc>
          <w:tcPr>
            <w:tcW w:type="dxa" w:w="14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5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/api/utilisateurs/{userId}/series-en-cours</w:t>
            </w:r>
          </w:p>
        </w:tc>
        <w:tc>
          <w:tcPr>
            <w:tcW w:type="dxa" w:w="345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Séries en cours (RG6)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/api/utilisateurs/{userId}/series-terminees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Séries terminées (RG6)</w:t>
            </w:r>
          </w:p>
        </w:tc>
      </w:tr>
      <w:tr>
        <w:tc>
          <w:tcPr>
            <w:tcW w:type="dxa" w:w="14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5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/api/utilisateurs/{userId}/progression/{serieId}</w:t>
            </w:r>
          </w:p>
        </w:tc>
        <w:tc>
          <w:tcPr>
            <w:tcW w:type="dxa" w:w="345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Détail de progression (RG3-RG5)</w:t>
            </w:r>
          </w:p>
        </w:tc>
      </w:tr>
    </w:tbl>
    <w:p>
      <w:pPr>
        <w:pStyle w:val="Heading2"/>
        <w:spacing w:after="150" w:before="300"/>
      </w:pPr>
      <w:r>
        <w:t xml:space="preserve">6.3 Enrichissement TMDB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50"/>
        <w:gridCol w:w="4500"/>
      </w:tblGrid>
      <w:tr>
        <w:trPr>
          <w:tblHeader/>
        </w:trPr>
        <w:tc>
          <w:tcPr>
            <w:tcW w:type="dxa" w:w="1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Méthode</w:t>
            </w:r>
          </w:p>
        </w:tc>
        <w:tc>
          <w:tcPr>
            <w:tcW w:type="dxa" w:w="345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/api/tmdb/recherche?titre=...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Rechercher une série par titre</w:t>
            </w:r>
          </w:p>
        </w:tc>
      </w:tr>
      <w:tr>
        <w:tc>
          <w:tcPr>
            <w:tcW w:type="dxa" w:w="14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45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/api/tmdb/populaires</w:t>
            </w:r>
          </w:p>
        </w:tc>
        <w:tc>
          <w:tcPr>
            <w:tcW w:type="dxa" w:w="45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Lister les séries populaires du moment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/api/tmdb/{tmdbId}/similaires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Séries similaires à une série TMDB</w:t>
            </w:r>
          </w:p>
        </w:tc>
      </w:tr>
      <w:tr>
        <w:tc>
          <w:tcPr>
            <w:tcW w:type="dxa" w:w="14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45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/api/tmdb/importer/{tmdbId}</w:t>
            </w:r>
          </w:p>
        </w:tc>
        <w:tc>
          <w:tcPr>
            <w:tcW w:type="dxa" w:w="45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Importer une série TMDB en base locale (RG7)</w:t>
            </w:r>
          </w:p>
        </w:tc>
      </w:tr>
    </w:tbl>
    <w:p>
      <w:pPr>
        <w:pStyle w:val="Heading1"/>
        <w:spacing w:after="200" w:before="400"/>
      </w:pPr>
      <w:r>
        <w:t xml:space="preserve">7. Conclusion</w:t>
      </w:r>
    </w:p>
    <w:p>
      <w:pPr>
        <w:spacing w:after="160"/>
      </w:pPr>
      <w:r>
        <w:t xml:space="preserve">Cette modélisation couvre l'ensemble du périmètre fonctionnel attendu tout en respectant la contrainte d'architecture imposée : Controller – Service – Repository, sans sur-ingénierie. Les règles de gestion identifiées (RG1 à RG7) seront implémentées exclusivement dans la couche Service, ce qui garantit une séparation claire des responsabilités et facilite les tests unitaires. La suite du développement consiste à implémenter successivement les repositories, les services, les controllers, puis le module d'enrichissement TMDB, en suivant la progression validée avec l'encadrant.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Series TV API — Dossier de modélisation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2F549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Calibri" w:cs="Calibri" w:eastAsia="Calibri" w:hAnsi="Calibri"/>
      <w:b/>
      <w:bCs/>
      <w:color w:val="1F386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9cefc7936ec5bb786921455e3c0ec0532ffa242.png"/><Relationship Id="rId10" Type="http://schemas.openxmlformats.org/officeDocument/2006/relationships/image" Target="media/c6a7f6f995ab767ab06343b5c31d64785c670e7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2026-09-10T08:51:46.825Z</dcterms:created>
  <dcterms:modified xsi:type="dcterms:W3CDTF">2026-09-10T08:51:46.825Z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