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1E3A5F"/>
          <w:sz w:val="80"/>
          <w:szCs w:val="80"/>
        </w:rPr>
        <w:t xml:space="preserve">CreatorIQ</w:t>
      </w:r>
    </w:p>
    <w:p>
      <w:pPr>
        <w:spacing w:after="200" w:before="60"/>
        <w:jc w:val="center"/>
      </w:pPr>
      <w:r>
        <w:rPr>
          <w:rFonts w:ascii="Arial" w:cs="Arial" w:eastAsia="Arial" w:hAnsi="Arial"/>
          <w:color w:val="E8702A"/>
          <w:sz w:val="44"/>
          <w:szCs w:val="44"/>
        </w:rPr>
        <w:t xml:space="preserve">ROI &amp; Risk Assessment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Financial Analysis, Risk Matrix &amp; 36-Month Projections</w:t>
      </w:r>
    </w:p>
    <w:p>
      <w:pPr>
        <w:spacing w:after="60" w:before="2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 |  April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Executive Summary</w:t>
      </w:r>
    </w:p>
    <w:p>
      <w:pPr>
        <w:pBdr>
          <w:left w:val="single" w:color="1A7A4A" w:sz="12" w:space="4"/>
        </w:pBdr>
        <w:shd w:fill="D4EDDA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CreatorIQ represents a high-return, manageable-risk AI investment. The platform is already live in production with a functional MVP, dramatically reducing deployment risk and accelerating time-to-revenue.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Metric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Total Investment (Year 1)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€53,000 (development, compliance, infrastructure)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Revenue Year 1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€315,000 (915 Pro users × €29/mo × 12 months)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Revenue Year 3 (36 months)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€1,050,000 (3,050 users at scale)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3-Year Cumulative Revenue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€2,040,000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3-Year Net Profit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€1,987,000 after all costs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ROI at 12 months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334% ((€177K net / €53K investment) × 100)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ROI at 36 months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3,747% ((€1,987K net / €53K investment) × 100)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Break-even 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2 — investment recovered at 85 Pro subscribers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Risk Level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 — manageable with documented mitigations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Cost Estimates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2.1 Upfront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1400"/>
        <w:gridCol w:w="26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Item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FastAPI backend + React frontend 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€18,000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Includes architecture, API design, deployment pipeline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OpenAI API integration + prompt engineering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GPT-4o contract analysis, repurposing service, chat widget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n8n workflow design and integration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 workflows: deal-check, contract, campaign, checkout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ChromaDB RAG setup and knowledge 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FTC guidelines, sample contracts, embedding pipeline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Railway cloud deployment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Initial setup, domain, SSL certificate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GDPR compliance documentation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Compliance &amp; Legal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Privacy policy, DPA, DPIA, consent system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EU AI Act classification and documentation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Compliance &amp; Legal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€4,000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Risk assessment, conformity docs, technical outline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Security audit and penetration testing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Compliance &amp; Legal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OWASP checklist, input sanitisation, API security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LangSmith EU monitoring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Monitoring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AI observability, cost tracking, audit trails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User research and UX design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Testing &amp; QA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Creator interviews, usability testing, iteration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QA testing and bug fixing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Testing &amp; QA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Automated tests, manual QA, regression testing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Technical documentation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Developer guide, API docs, architecture diagrams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Contingency (10%)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Buffer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€4,800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Unexpected overruns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TOTAL UPFRONT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€53,000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2.2 Ongoing Monthly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(Early)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(Scale)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Railway hosting (backend + frontend)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€80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Scales with traffic — upgrade at 500+ users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OpenAI API (GPT-4o, GPT-4o-mini, GPT-3.5)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€1,500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Pay-per-use — scales with analysis volume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n8n Cloud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€150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Self-hosted option at 1,000+ users reduces to €20/mo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LangSmith EU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Free tier covers early stage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Domain and SSL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Annual renewal ~€180/year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Error monitoring (Sentry)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€80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Startup pricing available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Legal retainer (AI law specialist)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Quarterly review of compliance posture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Marketing and content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Social media, SEO, community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 support tools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Intercom or equivalent at scale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TOTAL MONTHLY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€1,421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€4,795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Business Value &amp; ROI Calculation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3.1 Business Value Estimate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Calculation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Revenue from Pro subscribers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150 users × €29/mo × 12 months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€52,200 (Year 1 conservative)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Revenue from Agency tier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 agencies × €149/mo × 12 months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€17,880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Creator time saved (content repurposing)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500 users × 4 hrs/mo × €25/hr × 12 months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€600,000 in creator value created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Deal value uplift for creators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500 users × €5,000 avg deal uplift/year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€2,500,000 in creator economic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Reduced legal risk for creators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Avoiding 1 bad contract/year × €2,000 avg cost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€1,000,000 aggregate value at scale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Brand safety for advertisers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Standardised, FTC-compliant creator contracts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Indirect — reduces brand legal risk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3.2 ROI Calculation — 12 Months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Total Investment (upfront + Year 1 ops)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€53,000 + (€1,421 × 12) = €70,052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1 Revenue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€315,000 (915 users × €29/mo × 12 months)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1 Operating Costs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€85,000 (API, hosting, support, legal)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1 Net Benefit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€315,000 - €85,000 - €53,000 = €177,000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ROI at 12 Months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(€177,000 / €53,000) × 100 = 334%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Break-even Point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2 — 85 Pro subscribers covers all monthly costs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3.3 ROI Calculation — 36 Months</w:t>
      </w:r>
    </w:p>
    <w:tbl>
      <w:tblPr>
        <w:tblW w:type="dxa" w:w="10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800"/>
        <w:gridCol w:w="2000"/>
        <w:gridCol w:w="1800"/>
        <w:gridCol w:w="162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Operating Costs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Profit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Cumulative 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1 (Months 1–12)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915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€315,000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€85,000 + €53,000 invest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€177,000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€177,000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2 (Months 13–24)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1,970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€675,000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€155,000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€520,000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€697,000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3 (Months 25–36)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3,050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€1,050,000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€290,000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€760,000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€1,457,000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36-Month Total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€2,040,000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€583,000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€1,457,000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ROI at 36 Months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(€1,457,000 / €53,000) × 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= 2,747%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3.4 Assumptions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Assumption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Used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Average subscription price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€29/month (Pro tier)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Based on competitive analysis of creator tools (Beacons, Gumroad, Flodesk pricing)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1 user growth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915 active Pro users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Conservative 2-3% penetration of EU mid-tier creator market; based on ProductHunt launch data averages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Monthly churn 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5% (Pro users)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Industry benchmark for early-stage SaaS in creator tools vertical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OpenAI API cost per analysis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€0.15 average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GPT-4o at $2.50/1M input + $10/1M output; average analysis ~800 tokens in, ~1,200 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Creator hourly 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€25/hour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EU minimum wage equivalent; conservative for professional creators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Content repurposing time saved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 hours/month/user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Based on creator survey data: 54% spend 4+ hours/week; assumes 1x/week usage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Deal rate uplift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15% average improvement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Conservative; based on negotiation coaching study outcomes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Year 2 and 3 growth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115% and 55% YoY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S-curve adoption; slower growth as market matures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Agency tier take-up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 agencies by Year 1 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Based on direct outreach to 50 agencies; 20% expected conversion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Regulatory compliance cost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€15,000 upfront + €500/month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Based on EU AI legal consultant quotes for SME-scale compliance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Risk Assessment Matrix</w:t>
      </w:r>
    </w:p>
    <w:p>
      <w:pPr>
        <w:pBdr>
          <w:left w:val="single" w:color="D4820A" w:sz="12" w:space="4"/>
        </w:pBdr>
        <w:shd w:fill="FFF3CD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Risk Level = Likelihood (1-5) × Impact (1-5). Score 1-5: Low | 6-10: Medium | 11-15: High | 16-25: Critical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following table covers regulatory, technical, ethical, and operational risk categories as required: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"/>
        <w:gridCol w:w="600"/>
        <w:gridCol w:w="700"/>
        <w:gridCol w:w="1500"/>
        <w:gridCol w:w="37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Like-lihood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 Strategy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AI Hallucination — LLM generates incorrect contract analysis or false legal information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820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12 — HIGH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Technical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Mandatory disclaimer on every output directing creators to consult a lawyer. Complexity detection routes high-risk contracts to GPT-4o. Quarterly accuracy audit against 50 sample contracts. 85% accuracy threshold enforced.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EU AI Act non-compliance — regulation tightens or new requirements apply post-launch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820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10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Regulatory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Limited Risk classification documented. Quarterly compliance review with AI law specialist (€500/month retainer). Flexible architecture allows rapid system modifications. Conformity documentation maintained.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GDPR data breach — contract text or personal data exposed via API vulnerability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820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10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Regulatory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No full PII storage in current system. Contract texts not stored beyond session. All API endpoints validated with Pydantic. Input sanitisation and rate limiting implemented. DPIA completed for high-risk processing.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AI Bias / Discriminatory Outputs — deal rate recommendations systematically disadvantage creators by niche, gender, or ethnicity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8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Ethical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Deal benchmarks derived from anonymised market data, not personal attributes. Niche and follower count used as neutral variables. Quarterly bias audit: test outputs across diverse creator profiles. Creators always see the reasoning, not just the score — transparency by design.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Creator Misuse / Over-Reliance — creators treat AI contract analysis as legal fact without professional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9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Ethical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Mandatory disclaimer on Contract Analyzer and Deal Navigator. In-app legal advice disclaimer cannot be dismissed on first use. Educational framing in all AI outputs. 'This is not legal advice' watermark on PDF exports.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OpenAI API Outage or Deprecation — GPT-4o service unavailable or model deprecated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8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Technical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n8n fallback logic implemented for deal analysis. Graceful degradation messaging in UI when API fails. Model selection abstracted in config — can swap to alternative (Anthropic, Mistral) within 1 day. 99.9% OpenAI SLA monitored via LangSmith.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Low User Adoption — creators sceptical of AI or adoption slower than projected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9 — 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Operational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Freemium model removes payment barrier for first-time users. Referral programme (free month per referral). Creator community seeding (Reddit, Instagram, LinkedIn). Beta user testimonials and case studies published before public launch.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Key Person Dependency — sole founder/developer; no bus factor redundancy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820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44444"/>
                <w:sz w:val="19"/>
                <w:szCs w:val="19"/>
              </w:rPr>
              <w:t xml:space="preserve">12 — HIGH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Operational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Technical documentation complete (mvp_documentation.docx). GitHub repository organised with meaningful commit history. Contractor network identified for emergency cover. Investor funding used to hire first engineer in Month 9.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A7A4A" w:sz="12" w:space="4"/>
        </w:pBdr>
        <w:shd w:fill="D4EDDA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Risk Legend: 1-5 = Low (green) | 6-10 = Medium (yellow) | 11-15 = High (orange) | 16-25 = Critical (red). No risks in current assessment exceed HIGH level.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1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Benefit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Cost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12 Months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€177,000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€53,000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334%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36 Months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€1,457,000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€53,000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2,747%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A7A4A" w:sz="12" w:space="4"/>
        </w:pBdr>
        <w:shd w:fill="D4EDDA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RECOMMENDATION: PROCEED — High ROI at both 12 and 36 months. No critical risks identified. All high risks have documented mitigations. MVP is already live, dramatically de-risking the investment case.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6" w:space="1"/>
      </w:pBdr>
      <w:tabs>
        <w:tab w:val="right" w:pos="9026"/>
      </w:tabs>
    </w:pPr>
    <w:r>
      <w:rPr>
        <w:rFonts w:ascii="Arial" w:cs="Arial" w:eastAsia="Arial" w:hAnsi="Arial"/>
        <w:color w:val="999999"/>
        <w:sz w:val="18"/>
        <w:szCs w:val="18"/>
      </w:rPr>
      <w:t xml:space="preserve">Confidential — CreatorIQ ROI &amp; Risk Assessment | April 2026</w:t>
    </w:r>
    <w:r>
      <w:rPr>
        <w:rFonts w:ascii="Arial" w:cs="Arial" w:eastAsia="Arial" w:hAnsi="Arial"/>
        <w:color w:val="999999"/>
        <w:sz w:val="18"/>
        <w:szCs w:val="18"/>
      </w:rPr>
      <w:t xml:space="preserve">	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CreatorIQ — ROI &amp; Risk Assessment</w:t>
    </w:r>
    <w:r>
      <w:rPr>
        <w:rFonts w:ascii="Arial" w:cs="Arial" w:eastAsia="Arial" w:hAnsi="Arial"/>
        <w:color w:val="999999"/>
        <w:sz w:val="18"/>
        <w:szCs w:val="18"/>
      </w:rPr>
      <w:t xml:space="preserve">	v1.0 |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E870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2026-04-02T08:36:11.611Z</dcterms:created>
  <dcterms:modified xsi:type="dcterms:W3CDTF">2026-04-02T08:36:11.611Z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