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200"/>
        <w:jc w:val="center"/>
      </w:pPr>
      <w:r>
        <w:rPr>
          <w:rFonts w:ascii="Arial" w:cs="Arial" w:eastAsia="Arial" w:hAnsi="Arial"/>
          <w:b/>
          <w:bCs/>
          <w:color w:val="1E3A5F"/>
          <w:sz w:val="80"/>
          <w:szCs w:val="80"/>
        </w:rPr>
        <w:t xml:space="preserve">CreatorIQ</w:t>
      </w:r>
    </w:p>
    <w:p>
      <w:pPr>
        <w:spacing w:after="200" w:before="60"/>
        <w:jc w:val="center"/>
      </w:pPr>
      <w:r>
        <w:rPr>
          <w:rFonts w:ascii="Arial" w:cs="Arial" w:eastAsia="Arial" w:hAnsi="Arial"/>
          <w:color w:val="E8702A"/>
          <w:sz w:val="44"/>
          <w:szCs w:val="44"/>
        </w:rPr>
        <w:t xml:space="preserve">Use Case Definition Document</w:t>
      </w:r>
    </w:p>
    <w:p>
      <w:pPr>
        <w:spacing w:after="60" w:before="60"/>
        <w:jc w:val="center"/>
      </w:pPr>
      <w:r>
        <w:rPr>
          <w:rFonts w:ascii="Arial" w:cs="Arial" w:eastAsia="Arial" w:hAnsi="Arial"/>
          <w:color w:val="444444"/>
          <w:sz w:val="26"/>
          <w:szCs w:val="26"/>
        </w:rPr>
        <w:t xml:space="preserve">AI-Powered Platform for Content Creator Business Intelligence</w:t>
      </w:r>
    </w:p>
    <w:p>
      <w:pPr>
        <w:spacing w:after="60" w:before="200"/>
        <w:jc w:val="center"/>
      </w:pPr>
      <w:r>
        <w:rPr>
          <w:rFonts w:ascii="Arial" w:cs="Arial" w:eastAsia="Arial" w:hAnsi="Arial"/>
          <w:color w:val="888888"/>
          <w:sz w:val="22"/>
          <w:szCs w:val="22"/>
        </w:rPr>
        <w:t xml:space="preserve">Version 1.0  |  April 2026</w:t>
      </w:r>
    </w:p>
    <w:p>
      <w:r>
        <w:br w:type="page"/>
      </w:r>
    </w:p>
    <w:p>
      <w:pPr>
        <w:pStyle w:val="Heading1"/>
        <w:spacing w:after="200" w:before="400"/>
      </w:pPr>
      <w:r>
        <w:rPr>
          <w:rFonts w:ascii="Arial" w:cs="Arial" w:eastAsia="Arial" w:hAnsi="Arial"/>
          <w:b/>
          <w:bCs/>
          <w:color w:val="1E3A5F"/>
          <w:sz w:val="36"/>
          <w:szCs w:val="36"/>
        </w:rPr>
        <w:t xml:space="preserve">1. Business Problem Statement</w:t>
      </w:r>
    </w:p>
    <w:p>
      <w:pPr>
        <w:pBdr>
          <w:left w:val="single" w:color="1E3A5F" w:sz="12" w:space="4"/>
        </w:pBdr>
        <w:shd w:fill="D6E4F0" w:val="clear"/>
        <w:spacing w:after="120" w:before="120"/>
        <w:ind w:left="360" w:right="360"/>
      </w:pPr>
      <w:r>
        <w:rPr>
          <w:rFonts w:ascii="Arial" w:cs="Arial" w:eastAsia="Arial" w:hAnsi="Arial"/>
          <w:i/>
          <w:iCs/>
          <w:color w:val="444444"/>
          <w:sz w:val="22"/>
          <w:szCs w:val="22"/>
        </w:rPr>
        <w:t xml:space="preserve">Problem: Content creators in the EU creator economy are systematically undercharging for brand deals, signing unfair contracts, and spending 10+ hours per week on manual content repurposing — losing an estimated €8,000–€25,000 per year in value.</w:t>
      </w:r>
    </w:p>
    <w:p>
      <w:pPr>
        <w:spacing w:after="80" w:before="80"/>
      </w:pPr>
      <w:r>
        <w:t xml:space="preserve"/>
      </w:r>
    </w:p>
    <w:p>
      <w:pPr>
        <w:pStyle w:val="Heading2"/>
        <w:spacing w:after="150" w:before="300"/>
      </w:pPr>
      <w:r>
        <w:rPr>
          <w:rFonts w:ascii="Arial" w:cs="Arial" w:eastAsia="Arial" w:hAnsi="Arial"/>
          <w:b/>
          <w:bCs/>
          <w:color w:val="1E3A5F"/>
          <w:sz w:val="28"/>
          <w:szCs w:val="28"/>
        </w:rPr>
        <w:t xml:space="preserve">1.1 Who Is Affected</w:t>
      </w:r>
    </w:p>
    <w:p>
      <w:pPr>
        <w:spacing w:after="80" w:before="80"/>
      </w:pPr>
      <w:r>
        <w:rPr>
          <w:rFonts w:ascii="Arial" w:cs="Arial" w:eastAsia="Arial" w:hAnsi="Arial"/>
          <w:color w:val="444444"/>
          <w:sz w:val="22"/>
          <w:szCs w:val="22"/>
        </w:rPr>
        <w:t xml:space="preserve">Independent digital content creators (10,000–1,000,000 followers) operating across Instagram, TikTok, YouTube, and LinkedIn in the EU and UK. These creators manage brand deals, contracts, and content production without the agency support that larger creators access.</w:t>
      </w:r>
    </w:p>
    <w:p>
      <w:pPr>
        <w:spacing w:after="80" w:before="80"/>
      </w:pPr>
      <w:r>
        <w:t xml:space="preserve"/>
      </w:r>
    </w:p>
    <w:p>
      <w:pPr>
        <w:pStyle w:val="Heading2"/>
        <w:spacing w:after="150" w:before="300"/>
      </w:pPr>
      <w:r>
        <w:rPr>
          <w:rFonts w:ascii="Arial" w:cs="Arial" w:eastAsia="Arial" w:hAnsi="Arial"/>
          <w:b/>
          <w:bCs/>
          <w:color w:val="1E3A5F"/>
          <w:sz w:val="28"/>
          <w:szCs w:val="28"/>
        </w:rPr>
        <w:t xml:space="preserve">1.2 Quantified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Financial Impact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Undercharging on brand deals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71% of creators earn below market rate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€5,000–15,000/year lost per creator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Contract blind spots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68% do not fully understand sponsorship terms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Legal exposure, unfair exclusivity clauses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Manual content repurposing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54% spend 4+ hours/week adapting content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~200 hours/year of low-value work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No deal benchmarking tools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Only 22% have access to pricing data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Lack of negotiating leverage</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2.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Company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Industry</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 Economy / AI SaaS / Creator Tools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Company Size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Early-stage startup — fewer than 5 employees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Stage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MVP Live — transitioning from POC to commercial launch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Geographic Focus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EU-first (GDPR &amp; EU AI Act compliant), UK and global expansion planned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Revenue Model</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SaaS subscription — Freemium, Pro (€29/mo), Agency (€149/mo)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Live Application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https://creatoriq.up.railway.app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GitHub Repository</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https://github.com/monamohanty1987/CreatorIQ</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Compliance Posture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EU AI Act classified (Limited Risk), GDPR compliant, documented DPA</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3. Proposed AI Solution</w:t>
      </w:r>
    </w:p>
    <w:p>
      <w:pPr>
        <w:pStyle w:val="Heading2"/>
        <w:spacing w:after="150" w:before="300"/>
      </w:pPr>
      <w:r>
        <w:rPr>
          <w:rFonts w:ascii="Arial" w:cs="Arial" w:eastAsia="Arial" w:hAnsi="Arial"/>
          <w:b/>
          <w:bCs/>
          <w:color w:val="1E3A5F"/>
          <w:sz w:val="28"/>
          <w:szCs w:val="28"/>
        </w:rPr>
        <w:t xml:space="preserve">3.1 What the AI Does</w:t>
      </w:r>
    </w:p>
    <w:p>
      <w:pPr>
        <w:spacing w:after="80" w:before="80"/>
      </w:pPr>
      <w:r>
        <w:rPr>
          <w:rFonts w:ascii="Arial" w:cs="Arial" w:eastAsia="Arial" w:hAnsi="Arial"/>
          <w:color w:val="444444"/>
          <w:sz w:val="22"/>
          <w:szCs w:val="22"/>
        </w:rPr>
        <w:t xml:space="preserve">CreatorIQ deploys multiple AI system types in a unified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 Used</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Deal Navigator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Generation + Classification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GPT-4o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Analyses brand deal terms, calculates market rate, generates counter-offer and talking points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Contract Analyzer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Generation + Risk Classification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GPT-4o / GPT-4o-mini (complexity routing)</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Reviews contract text, detects red flags, assesses FTC compliance, scores deal 0-100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Content Repurposer 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Generation + Transformation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GPT-4o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Converts one piece of content into 7 platform-optimised formats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Campaign Generator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Generation + Sequencing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GPT-4o</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Creates 5-email product launch sequences with scheduling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 Commerce Scripts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Generation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GPT-4o-mini</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Generates product promotion scripts across content types and tones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Ask Me Anything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Conversational AI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GPT-3.5-turbo</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Floating assistant answering creator business questions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RAG Contract Analysis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Retrieval Augmented Generation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ChromaDB + HuggingFace embeddings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Retrieves FTC guidelines and sample contracts to augment contract analysis</w:t>
            </w:r>
          </w:p>
        </w:tc>
      </w:tr>
    </w:tbl>
    <w:p>
      <w:pPr>
        <w:spacing w:after="80" w:before="80"/>
      </w:pPr>
      <w:r>
        <w:t xml:space="preserve"/>
      </w:r>
    </w:p>
    <w:p>
      <w:pPr>
        <w:pStyle w:val="Heading2"/>
        <w:spacing w:after="150" w:before="300"/>
      </w:pPr>
      <w:r>
        <w:rPr>
          <w:rFonts w:ascii="Arial" w:cs="Arial" w:eastAsia="Arial" w:hAnsi="Arial"/>
          <w:b/>
          <w:bCs/>
          <w:color w:val="1E3A5F"/>
          <w:sz w:val="28"/>
          <w:szCs w:val="28"/>
        </w:rPr>
        <w:t xml:space="preserve">3.2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React 18 + Vite 5 + TailwindCSS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interface — deployed at creatoriq.up.railway.app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Backend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FastAPI (Python 3.11) + SQLAlchemy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REST API — deployed at creatoriq-production-7405.up.railway.app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 Layer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OpenAI GPT-4o, GPT-4o-mini, GPT-3.5-turbo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All AI generation tasks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RAG Layer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ChromaDB + all-MiniLM-L6-v2 embeddings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Semantic retrieval for contract analysis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Automation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n8n cloud workflows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External data enrichment for deal rates and contracts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Monitoring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LangSmith EU instance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Full AI observability — every call traced with cost and latency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SQLite (dev) / PostgreSQL (production)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Persistent storage of all analyses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Deployment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Railway (separate backend + frontend services)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Cloud hosting with auto-deploy from GitHub</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4.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800"/>
        <w:gridCol w:w="22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2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 of Influence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Content Creators (10K–1M followers)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Primary Users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Get better deals, save time, earn more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 — adoption drives all metrics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Talent Agents / Creator Managers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Secondary Users / Partners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Scalable tool for creator roster management</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 — B2B revenue potential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Brand Partners / Advertisers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Indirect Beneficiaries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Standardised creator pricing, FTC-compliant deals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market validation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OpenAI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Technology Partner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API usage revenue</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 — core AI dependency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n8n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Technology Partner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Workflow automation SaaS revenue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workflow layer dependency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EU Regulators (EC, DPAs)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Compliance Authority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EU AI Act &amp; GDPR adherence</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 — legal requirement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 Coaches / Educators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Affiliate Partners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Commission revenue, audience value-add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Medium — referral channel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Investors / Bootcamp Assessors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Funding / Evaluation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Viable AI business model, ROI evidence</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High — enables growth capital</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5. Success Criteria</w:t>
      </w:r>
    </w:p>
    <w:p>
      <w:pPr>
        <w:spacing w:after="80" w:before="80"/>
      </w:pPr>
      <w:r>
        <w:rPr>
          <w:rFonts w:ascii="Arial" w:cs="Arial" w:eastAsia="Arial" w:hAnsi="Arial"/>
          <w:color w:val="444444"/>
          <w:sz w:val="22"/>
          <w:szCs w:val="22"/>
        </w:rPr>
        <w:t xml:space="preserve">The following measurable outcomes define success for CreatorIQ:</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1800"/>
        <w:gridCol w:w="236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 deal value improvement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Average % increase in deal rate after using Deal Navigator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15% uplift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User-reported outcome survey at 30 days post-use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User adoption and retention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Monthly Active Users (MAU) and monthly churn rate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500 MAU by Month 6; churn &lt; 7%</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PostHog analytics dashboard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 output accuracy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of contract red flags correctly identified vs. lawyer 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85% accuracy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Quarterly manual audit of 50 random analyses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Revenue milestone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Monthly Recurring Revenue (MRR)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€3,069 MRR by Month 6 (break-even path)</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Stripe MRR dashboard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Compliance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Zero regulatory incidents (GDPR, EU AI 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0 incidents in first 12 months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Quarterly compliance audit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Time saved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Hours saved per creator per month on content repurposing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4 hours/month per active user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In-app usage tracking + user survey</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6. Out-of-Scope Boundaries</w:t>
      </w:r>
    </w:p>
    <w:p>
      <w:pPr>
        <w:pBdr>
          <w:left w:val="single" w:color="D4820A" w:sz="12" w:space="4"/>
        </w:pBdr>
        <w:shd w:fill="FFF3CD" w:val="clear"/>
        <w:spacing w:after="120" w:before="120"/>
        <w:ind w:left="360" w:right="360"/>
      </w:pPr>
      <w:r>
        <w:rPr>
          <w:rFonts w:ascii="Arial" w:cs="Arial" w:eastAsia="Arial" w:hAnsi="Arial"/>
          <w:i/>
          <w:iCs/>
          <w:color w:val="444444"/>
          <w:sz w:val="22"/>
          <w:szCs w:val="22"/>
        </w:rPr>
        <w:t xml:space="preserve">The following are explicitly outside the scope of CreatorIQ. These boundaries prevent scope creep, manage user expectations, and define what the system will not attempt to 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Out-of-Scope Item</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 / Boundary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Legal advice or lawyer replacement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 is an educational tool only. All contract analyses include a mandatory disclaimer directing creators to consult a qualified lawyer before signing any agreement.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Financial advice or investment recommendations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The Deal Navigator provides market benchmarks and educational insights only. It does not constitute regulated financial advice under MiFID II or equivalent.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Automated deal negotiation or agent representation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 assists human decision-making. It does not negotiate on behalf of creators, communicate with brands, or take any automated action in the real world.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Content moderation or platform policy enforcement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CreatorIQ does not assess whether content complies with platform terms of service (YouTube, TikTok, Instagram). Creators remain responsible for platform compliance.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Brand discovery or deal sourcing marketplace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 does not connect creators with brands or help find sponsorship opportunities. It analyses deals already offered to the creator.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Tax, accounting, or invoicing services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Financial outputs (deal rates, ROI estimates) are educational benchmarks only, not tax advice or accounting services.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Non-creator user types (brands, agencies as primary buyers)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The MVP targets individual creators only. Brand-side tools and agency-specific features are planned for Phase 4 but are not in scope for the current release.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Languages other than English</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All AI prompts, outputs, and UI are English-only in the current release. Multi-language support (German, French, Spanish) is a Phase 3 roadmap item.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Offline or on-premise deployment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CreatorIQ is a cloud-native SaaS product. No offline, desktop, or self-hosted version is in scope for the current release.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Predictive content performance or virality scoring</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CreatorIQ does not predict whether content will go viral, reach specific view counts, or outperform competitor content.</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7. Risk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AI hallucination in contract analysis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Creator acts on incorrect legal information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Mandatory disclaimer: 'This is educational, not legal advice. Consult a lawyer before signing.'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EU AI Act compliance gap</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Regulatory penalty or enforced shutdown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Quarterly compliance review; Limited Risk classification documented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User adoption below forecast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Revenue shortfall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Freemium model reduces friction; referral programme; creator community marketing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OpenAI API dependency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Feature outage if OpenAI is unavailable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n8n fallback logic implemented; graceful degradation messaging in UI</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8. Conclusion</w:t>
      </w:r>
    </w:p>
    <w:p>
      <w:pPr>
        <w:spacing w:after="80" w:before="80"/>
      </w:pPr>
      <w:r>
        <w:rPr>
          <w:rFonts w:ascii="Arial" w:cs="Arial" w:eastAsia="Arial" w:hAnsi="Arial"/>
          <w:color w:val="444444"/>
          <w:sz w:val="22"/>
          <w:szCs w:val="22"/>
        </w:rPr>
        <w:t xml:space="preserve">CreatorIQ addresses a clearly defined, quantified problem in the EU creator economy. The AI solution is technically implemented, live in production, and compliant with EU AI Act and GDPR requirements. The scope is deliberately bounded to ensure quality, compliance, and user safety — with a clear roadmap for expansion beyond current boundaries.</w:t>
      </w:r>
    </w:p>
    <w:p>
      <w:pPr>
        <w:spacing w:after="80" w:before="80"/>
      </w:pPr>
      <w:r>
        <w:t xml:space="preserve"/>
      </w:r>
    </w:p>
    <w:p>
      <w:pPr>
        <w:pBdr>
          <w:left w:val="single" w:color="1A7A4A" w:sz="12" w:space="4"/>
        </w:pBdr>
        <w:shd w:fill="D4EDDA" w:val="clear"/>
        <w:spacing w:after="120" w:before="120"/>
        <w:ind w:left="360" w:right="360"/>
      </w:pPr>
      <w:r>
        <w:rPr>
          <w:rFonts w:ascii="Arial" w:cs="Arial" w:eastAsia="Arial" w:hAnsi="Arial"/>
          <w:i/>
          <w:iCs/>
          <w:color w:val="444444"/>
          <w:sz w:val="22"/>
          <w:szCs w:val="22"/>
        </w:rPr>
        <w:t xml:space="preserve">RECOMMENDATION: PROCEED WITH COMMERCIAL LAUNCH — All core deliverables are live, compliant, and validated against measurable success criteria.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space="1"/>
      </w:pBdr>
      <w:tabs>
        <w:tab w:val="right" w:pos="9026"/>
      </w:tabs>
    </w:pPr>
    <w:r>
      <w:rPr>
        <w:rFonts w:ascii="Arial" w:cs="Arial" w:eastAsia="Arial" w:hAnsi="Arial"/>
        <w:color w:val="999999"/>
        <w:sz w:val="18"/>
        <w:szCs w:val="18"/>
      </w:rPr>
      <w:t xml:space="preserve">Confidential — CreatorIQ Use Case Definition | April 2026</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CreatorIQ — Use Case Definition</w:t>
    </w:r>
    <w:r>
      <w:rPr>
        <w:rFonts w:ascii="Arial" w:cs="Arial" w:eastAsia="Arial" w:hAnsi="Arial"/>
        <w:color w:val="999999"/>
        <w:sz w:val="18"/>
        <w:szCs w:val="18"/>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70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2026-04-02T08:36:11.565Z</dcterms:created>
  <dcterms:modified xsi:type="dcterms:W3CDTF">2026-04-02T08:36:11.570Z</dcterms:modified>
</cp:coreProperties>
</file>

<file path=docProps/custom.xml><?xml version="1.0" encoding="utf-8"?>
<Properties xmlns="http://schemas.openxmlformats.org/officeDocument/2006/custom-properties" xmlns:vt="http://schemas.openxmlformats.org/officeDocument/2006/docPropsVTypes"/>
</file>