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40B1A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9F6EBF1" wp14:editId="10C66335">
            <wp:simplePos x="0" y="0"/>
            <wp:positionH relativeFrom="column">
              <wp:posOffset>-10795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0850C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État document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Société :</w:t>
      </w:r>
      <w:r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0850C5" w:rsidRPr="00E56495">
        <w:rPr>
          <w:sz w:val="20"/>
          <w:szCs w:val="20"/>
          <w:lang w:val="fr-FR"/>
        </w:rPr>
        <w:t>ocument 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Date :</w:t>
      </w:r>
      <w:r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 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LU"/>
        </w:rPr>
        <w:t>Représentant</w:t>
      </w:r>
      <w:r w:rsidR="00427FA5" w:rsidRPr="00E56495">
        <w:rPr>
          <w:sz w:val="20"/>
          <w:szCs w:val="20"/>
          <w:lang w:val="fr-LU"/>
        </w:rPr>
        <w:t>(s)</w:t>
      </w:r>
      <w:r w:rsidRPr="00E56495">
        <w:rPr>
          <w:sz w:val="20"/>
          <w:szCs w:val="20"/>
          <w:lang w:val="fr-LU"/>
        </w:rPr>
        <w:t xml:space="preserve"> client : </w:t>
      </w:r>
      <w:r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18418B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418785" w:history="1">
            <w:r w:rsidR="0018418B" w:rsidRPr="006C4E30">
              <w:rPr>
                <w:rStyle w:val="Hyperlink"/>
                <w:noProof/>
                <w:lang w:val="fr-LU"/>
              </w:rPr>
              <w:t>1</w:t>
            </w:r>
            <w:r w:rsidR="0018418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Introduction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_Toc75418785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3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786" w:history="1">
            <w:r w:rsidR="0018418B" w:rsidRPr="006C4E30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18418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Mise en contexte de l’analyse des risques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_Toc75418786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3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787" w:history="1">
            <w:r w:rsidR="0018418B" w:rsidRPr="006C4E30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18418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Objectifs du document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_Toc75418787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3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788" w:history="1">
            <w:r w:rsidR="0018418B" w:rsidRPr="006C4E30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18418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Acronymes/Glossaire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_Toc75418788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3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789" w:history="1">
            <w:r w:rsidR="0018418B" w:rsidRPr="006C4E30">
              <w:rPr>
                <w:rStyle w:val="Hyperlink"/>
                <w:noProof/>
                <w:lang w:val="fr-LU"/>
              </w:rPr>
              <w:t>2</w:t>
            </w:r>
            <w:r w:rsidR="0018418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Établissement du contexte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_Toc75418789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4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790" w:history="1">
            <w:r w:rsidR="0018418B" w:rsidRPr="006C4E30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18418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Description du contexte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_Toc75418790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4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791" w:history="1">
            <w:r w:rsidR="0018418B" w:rsidRPr="006C4E30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 w:rsidR="0018418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Définition des critères d’évaluation du risque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_Toc75418791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4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2" w:history="1">
            <w:r w:rsidR="0018418B" w:rsidRPr="006C4E30">
              <w:rPr>
                <w:rStyle w:val="Hyperlink"/>
                <w:noProof/>
                <w:lang w:val="fr-LU"/>
              </w:rPr>
              <w:t>2.2.1</w:t>
            </w:r>
            <w:r w:rsidR="0018418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Risques de l’information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_Toc75418792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4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3" w:history="1">
            <w:r w:rsidR="0018418B" w:rsidRPr="006C4E30">
              <w:rPr>
                <w:rStyle w:val="Hyperlink"/>
                <w:noProof/>
                <w:lang w:val="en-GB"/>
              </w:rPr>
              <w:t>2.2.1.1</w:t>
            </w:r>
            <w:r w:rsidR="0018418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Échelle d’impacts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_Toc75418793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4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4" w:history="1">
            <w:r w:rsidR="0018418B" w:rsidRPr="006C4E30">
              <w:rPr>
                <w:rStyle w:val="Hyperlink"/>
                <w:noProof/>
                <w:lang w:val="en-GB"/>
              </w:rPr>
              <w:t>2.2.1.2</w:t>
            </w:r>
            <w:r w:rsidR="0018418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Échelle des menaces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_Toc75418794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4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5" w:history="1">
            <w:r w:rsidR="0018418B" w:rsidRPr="006C4E30">
              <w:rPr>
                <w:rStyle w:val="Hyperlink"/>
                <w:noProof/>
                <w:lang w:val="en-GB"/>
              </w:rPr>
              <w:t>2.2.1.3</w:t>
            </w:r>
            <w:r w:rsidR="0018418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Échelle des vulnérabilités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_Toc75418795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4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6" w:history="1">
            <w:r w:rsidR="0018418B" w:rsidRPr="006C4E30">
              <w:rPr>
                <w:rStyle w:val="Hyperlink"/>
                <w:noProof/>
                <w:lang w:val="en-GB"/>
              </w:rPr>
              <w:t>2.2.1.4</w:t>
            </w:r>
            <w:r w:rsidR="0018418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Seuils d’acceptation des risques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_Toc75418796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5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7" w:history="1">
            <w:r w:rsidR="0018418B" w:rsidRPr="006C4E30">
              <w:rPr>
                <w:rStyle w:val="Hyperlink"/>
                <w:noProof/>
                <w:lang w:val="fr-LU"/>
              </w:rPr>
              <w:t>2.2.2</w:t>
            </w:r>
            <w:r w:rsidR="0018418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Risques opérationnels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_Toc75418797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5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8" w:history="1">
            <w:r w:rsidR="0018418B" w:rsidRPr="006C4E30">
              <w:rPr>
                <w:rStyle w:val="Hyperlink"/>
                <w:noProof/>
                <w:lang w:val="en-GB"/>
              </w:rPr>
              <w:t>2.2.2.1</w:t>
            </w:r>
            <w:r w:rsidR="0018418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Échelle d’impacts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_Toc75418798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5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799" w:history="1">
            <w:r w:rsidR="0018418B" w:rsidRPr="006C4E30">
              <w:rPr>
                <w:rStyle w:val="Hyperlink"/>
                <w:noProof/>
                <w:lang w:val="en-GB"/>
              </w:rPr>
              <w:t>2.2.2.2</w:t>
            </w:r>
            <w:r w:rsidR="0018418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Echelle de vraisemblance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_Toc75418799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5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00" w:history="1">
            <w:r w:rsidR="0018418B" w:rsidRPr="006C4E30">
              <w:rPr>
                <w:rStyle w:val="Hyperlink"/>
                <w:noProof/>
                <w:lang w:val="en-GB"/>
              </w:rPr>
              <w:t>2.2.2.3</w:t>
            </w:r>
            <w:r w:rsidR="0018418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Seuils d’acceptation des risques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_Toc75418800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5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801" w:history="1">
            <w:r w:rsidR="0018418B" w:rsidRPr="006C4E30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18418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Évaluation des tendances et des menaces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_Toc75418801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5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02" w:history="1">
            <w:r w:rsidR="0018418B" w:rsidRPr="006C4E30">
              <w:rPr>
                <w:rStyle w:val="Hyperlink"/>
                <w:noProof/>
                <w:lang w:val="fr-LU"/>
              </w:rPr>
              <w:t>2.3.1</w:t>
            </w:r>
            <w:r w:rsidR="0018418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18418B" w:rsidRPr="006C4E30">
              <w:rPr>
                <w:rStyle w:val="Hyperlink"/>
                <w:noProof/>
                <w:lang w:val="fr-LU"/>
              </w:rPr>
              <w:t>Analyse des tendances et des menaces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_Toc75418802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5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03" w:history="1">
            <w:r w:rsidR="0018418B" w:rsidRPr="006C4E30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_Toc75418803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6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04" w:history="1">
            <w:r w:rsidR="0018418B" w:rsidRPr="006C4E30">
              <w:rPr>
                <w:rStyle w:val="Hyperlink"/>
                <w:noProof/>
                <w:lang w:val="fr-LU"/>
              </w:rPr>
              <w:t>Annexe B : Évaluation des tendances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_Toc75418804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7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18418B" w:rsidRDefault="00DD1B3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05" w:history="1">
            <w:r w:rsidR="0018418B" w:rsidRPr="006C4E30">
              <w:rPr>
                <w:rStyle w:val="Hyperlink"/>
                <w:noProof/>
                <w:lang w:val="fr-LU"/>
              </w:rPr>
              <w:t>Annexe C : Évaluation des menaces</w:t>
            </w:r>
            <w:r w:rsidR="0018418B">
              <w:rPr>
                <w:noProof/>
                <w:webHidden/>
              </w:rPr>
              <w:tab/>
            </w:r>
            <w:r w:rsidR="0018418B">
              <w:rPr>
                <w:noProof/>
                <w:webHidden/>
              </w:rPr>
              <w:fldChar w:fldCharType="begin"/>
            </w:r>
            <w:r w:rsidR="0018418B">
              <w:rPr>
                <w:noProof/>
                <w:webHidden/>
              </w:rPr>
              <w:instrText xml:space="preserve"> PAGEREF _Toc75418805 \h </w:instrText>
            </w:r>
            <w:r w:rsidR="0018418B">
              <w:rPr>
                <w:noProof/>
                <w:webHidden/>
              </w:rPr>
            </w:r>
            <w:r w:rsidR="0018418B">
              <w:rPr>
                <w:noProof/>
                <w:webHidden/>
              </w:rPr>
              <w:fldChar w:fldCharType="separate"/>
            </w:r>
            <w:r w:rsidR="0018418B">
              <w:rPr>
                <w:noProof/>
                <w:webHidden/>
              </w:rPr>
              <w:t>8</w:t>
            </w:r>
            <w:r w:rsidR="0018418B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CE5314" w:rsidRDefault="00A90457" w:rsidP="00A90457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  <w:r w:rsidRPr="00CE5314">
            <w:rPr>
              <w:b/>
              <w:lang w:val="fr-LU"/>
            </w:rPr>
            <w:t>Lu et approuvé par les différentes parties à nommer</w:t>
          </w:r>
        </w:p>
        <w:p w:rsidR="00C25408" w:rsidRDefault="00DD1B3E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  <w:bookmarkStart w:id="8" w:name="_GoBack"/>
      <w:bookmarkEnd w:id="8"/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75418785"/>
      <w:r w:rsidRPr="002272FD">
        <w:rPr>
          <w:lang w:val="fr-LU"/>
        </w:rPr>
        <w:lastRenderedPageBreak/>
        <w:t>Introduction</w:t>
      </w:r>
      <w:bookmarkEnd w:id="9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10" w:name="_Toc75418786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1" w:name="_Toc75418787"/>
      <w:r w:rsidRPr="00C815E7">
        <w:rPr>
          <w:lang w:val="fr-LU"/>
        </w:rPr>
        <w:t>Objectifs du document</w:t>
      </w:r>
      <w:bookmarkEnd w:id="11"/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a pour objectif de présenter le contexte des risques, tel qu’il a été compris et transposé par la personne responsable de la gestion des risques.</w:t>
      </w:r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doit être signé, pour lecture et acceptation par le management de l’organisme cible, afin de permettre de poursuivre la mission plus en avant.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75418788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2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3" w:name="_Toc75418789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3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4" w:name="_Toc75418790"/>
      <w:bookmarkStart w:id="15" w:name="_Toc354489473"/>
      <w:r w:rsidRPr="00BD0171">
        <w:rPr>
          <w:lang w:val="fr-LU"/>
        </w:rPr>
        <w:t>Description du contexte</w:t>
      </w:r>
      <w:bookmarkEnd w:id="14"/>
      <w:r w:rsidRPr="00BD0171">
        <w:rPr>
          <w:lang w:val="fr-LU"/>
        </w:rPr>
        <w:t xml:space="preserve"> </w:t>
      </w:r>
      <w:bookmarkEnd w:id="15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6" w:name="_Toc354489474"/>
      <w:bookmarkStart w:id="17" w:name="_Toc75418791"/>
      <w:r w:rsidRPr="00397267">
        <w:rPr>
          <w:lang w:val="fr-LU"/>
        </w:rPr>
        <w:t>Définition des critères d’évaluation du risque</w:t>
      </w:r>
      <w:bookmarkEnd w:id="16"/>
      <w:bookmarkEnd w:id="17"/>
    </w:p>
    <w:p w:rsidR="00015686" w:rsidRPr="00015686" w:rsidRDefault="00015686" w:rsidP="0001568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8" w:name="_Toc75418792"/>
      <w:r>
        <w:rPr>
          <w:lang w:val="fr-LU"/>
        </w:rPr>
        <w:t>Risques de l’information</w:t>
      </w:r>
      <w:bookmarkEnd w:id="18"/>
    </w:p>
    <w:p w:rsidR="003A0934" w:rsidRDefault="003A0934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19" w:name="_Toc354489475"/>
      <w:bookmarkStart w:id="20" w:name="_Toc75418793"/>
      <w:r>
        <w:rPr>
          <w:lang w:val="fr-LU"/>
        </w:rPr>
        <w:t>Échelle d’impacts</w:t>
      </w:r>
      <w:bookmarkEnd w:id="19"/>
      <w:bookmarkEnd w:id="20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1" w:name="_Toc75418794"/>
      <w:r w:rsidRPr="00397267">
        <w:rPr>
          <w:lang w:val="fr-LU"/>
        </w:rPr>
        <w:t>Échelle des menaces</w:t>
      </w:r>
      <w:bookmarkEnd w:id="21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2" w:name="_Toc75418795"/>
      <w:r w:rsidRPr="005914F7">
        <w:rPr>
          <w:lang w:val="fr-LU"/>
        </w:rPr>
        <w:t>Échelle des vulnérabilités</w:t>
      </w:r>
      <w:bookmarkEnd w:id="22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C82105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3" w:name="_Toc75418796"/>
      <w:r>
        <w:rPr>
          <w:lang w:val="fr-LU"/>
        </w:rPr>
        <w:lastRenderedPageBreak/>
        <w:t>S</w:t>
      </w:r>
      <w:r w:rsidR="003A0934" w:rsidRPr="005914F7">
        <w:rPr>
          <w:lang w:val="fr-LU"/>
        </w:rPr>
        <w:t>euils d’acceptation des risques</w:t>
      </w:r>
      <w:bookmarkEnd w:id="23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8863BA" w:rsidP="003A0934">
      <w:pPr>
        <w:ind w:firstLine="709"/>
        <w:rPr>
          <w:color w:val="000000" w:themeColor="text1"/>
          <w:lang w:val="fr-LU"/>
        </w:rPr>
      </w:pPr>
      <w:r>
        <w:rPr>
          <w:color w:val="000000" w:themeColor="text1"/>
          <w:lang w:val="fr-LU"/>
        </w:rPr>
        <w:t>Rouge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="003A0934" w:rsidRPr="005A1E67">
        <w:rPr>
          <w:color w:val="000000" w:themeColor="text1"/>
          <w:lang w:val="fr-LU"/>
        </w:rPr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</w:t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 xml:space="preserve">: Risque faible ne nécessitant aucune action   </w:t>
      </w:r>
    </w:p>
    <w:p w:rsidR="006C751B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015686" w:rsidRPr="00015686" w:rsidRDefault="00015686" w:rsidP="0001568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4" w:name="_Toc75418797"/>
      <w:r>
        <w:rPr>
          <w:lang w:val="fr-LU"/>
        </w:rPr>
        <w:t>Risques opérationnels</w:t>
      </w:r>
      <w:bookmarkEnd w:id="24"/>
    </w:p>
    <w:p w:rsidR="00015686" w:rsidRDefault="00015686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5" w:name="_Toc75418798"/>
      <w:r>
        <w:rPr>
          <w:lang w:val="fr-LU"/>
        </w:rPr>
        <w:t>Échelle d’impacts</w:t>
      </w:r>
      <w:bookmarkEnd w:id="25"/>
    </w:p>
    <w:p w:rsidR="00015686" w:rsidRPr="00E65870" w:rsidRDefault="00015686" w:rsidP="00015686">
      <w:r w:rsidRPr="00E65870">
        <w:t>${OP_RISKS_SCALE_IMPACT}</w:t>
      </w:r>
    </w:p>
    <w:p w:rsidR="00015686" w:rsidRDefault="00015686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6" w:name="_Toc75418799"/>
      <w:r w:rsidRPr="00015686">
        <w:rPr>
          <w:lang w:val="fr-LU"/>
        </w:rPr>
        <w:t>Echelle de vraisemblance</w:t>
      </w:r>
      <w:bookmarkEnd w:id="26"/>
    </w:p>
    <w:p w:rsidR="00015686" w:rsidRPr="00015686" w:rsidRDefault="00015686" w:rsidP="00015686">
      <w:pPr>
        <w:rPr>
          <w:lang w:val="fr-LU"/>
        </w:rPr>
      </w:pPr>
      <w:r w:rsidRPr="00015686">
        <w:rPr>
          <w:lang w:val="fr-LU"/>
        </w:rPr>
        <w:t>${OP_RISKS_SCALE_LIKELIHOOD}</w:t>
      </w:r>
    </w:p>
    <w:p w:rsidR="00015686" w:rsidRDefault="00C82105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7" w:name="_Toc75418800"/>
      <w:r>
        <w:rPr>
          <w:lang w:val="fr-LU"/>
        </w:rPr>
        <w:t>S</w:t>
      </w:r>
      <w:r w:rsidR="00015686" w:rsidRPr="005914F7">
        <w:rPr>
          <w:lang w:val="fr-LU"/>
        </w:rPr>
        <w:t>euils d’acceptation des risques</w:t>
      </w:r>
      <w:bookmarkEnd w:id="27"/>
    </w:p>
    <w:p w:rsidR="00015686" w:rsidRPr="00015686" w:rsidRDefault="00015686" w:rsidP="00015686">
      <w:pPr>
        <w:jc w:val="center"/>
        <w:rPr>
          <w:lang w:val="fr-LU"/>
        </w:rPr>
      </w:pPr>
      <w:r w:rsidRPr="00015686">
        <w:rPr>
          <w:lang w:val="fr-LU"/>
        </w:rPr>
        <w:t>${TABLE_OP_RISKS}</w:t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8" w:name="_Toc75418801"/>
      <w:r>
        <w:rPr>
          <w:lang w:val="fr-LU"/>
        </w:rPr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8"/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9" w:name="_Toc75418802"/>
      <w:r>
        <w:rPr>
          <w:lang w:val="fr-LU"/>
        </w:rPr>
        <w:t>Analyse des tendances et des menaces</w:t>
      </w:r>
      <w:bookmarkEnd w:id="29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5A3A9D" w:rsidRDefault="007450F4" w:rsidP="00AA2D64">
      <w:pPr>
        <w:rPr>
          <w:lang w:val="fr-LU"/>
        </w:rPr>
      </w:pPr>
      <w:r w:rsidRPr="005A3A9D">
        <w:rPr>
          <w:lang w:val="fr-LU"/>
        </w:rPr>
        <w:t>${TABLE_THREATS}</w:t>
      </w:r>
      <w:r>
        <w:rPr>
          <w:lang w:val="fr-LU"/>
        </w:rPr>
        <w:br w:type="page"/>
      </w:r>
    </w:p>
    <w:p w:rsidR="00A90457" w:rsidRPr="00A90457" w:rsidRDefault="004B2BB7" w:rsidP="00E42216">
      <w:pPr>
        <w:pStyle w:val="Heading1"/>
        <w:rPr>
          <w:lang w:val="fr-LU"/>
        </w:rPr>
      </w:pPr>
      <w:bookmarkStart w:id="30" w:name="_Toc75418803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30"/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31" w:name="_Toc75418804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31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32" w:name="_Toc75418805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32"/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9"/>
      <w:footerReference w:type="default" r:id="rId10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412" w:rsidRDefault="004E2412" w:rsidP="002112D1">
      <w:r>
        <w:separator/>
      </w:r>
    </w:p>
  </w:endnote>
  <w:endnote w:type="continuationSeparator" w:id="0">
    <w:p w:rsidR="004E2412" w:rsidRDefault="004E2412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DD1B3E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DD1B3E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412" w:rsidRDefault="004E2412" w:rsidP="002112D1">
      <w:r>
        <w:separator/>
      </w:r>
    </w:p>
  </w:footnote>
  <w:footnote w:type="continuationSeparator" w:id="0">
    <w:p w:rsidR="004E2412" w:rsidRDefault="004E2412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46785" w:rsidRPr="0071122F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0B1A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127D7203" wp14:editId="718B8ED7">
                <wp:simplePos x="0" y="0"/>
                <wp:positionH relativeFrom="column">
                  <wp:posOffset>12065</wp:posOffset>
                </wp:positionH>
                <wp:positionV relativeFrom="paragraph">
                  <wp:posOffset>5080</wp:posOffset>
                </wp:positionV>
                <wp:extent cx="1524635" cy="575945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46785">
            <w:rPr>
              <w:sz w:val="18"/>
              <w:lang w:val="fr-LU"/>
            </w:rPr>
            <w:ptab w:relativeTo="margin" w:alignment="left" w:leader="none"/>
          </w:r>
        </w:p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46785" w:rsidRPr="002F725D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46785" w:rsidRPr="009F0038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46785" w:rsidRPr="00791411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46785" w:rsidRPr="0071122F" w:rsidTr="00B14687">
      <w:trPr>
        <w:trHeight w:hRule="exact" w:val="288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746785" w:rsidRPr="00810F34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68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18B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1B9D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412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6407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05E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3A9D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DA5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6C0F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B1A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3BA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687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8DB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3950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2105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3C0B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1B3E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216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05B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5CAAD-D36D-43BA-81FB-71647432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2017-07-25T08:44:00Z</dcterms:created>
  <dcterms:modified xsi:type="dcterms:W3CDTF">2022-11-16T13:58:00Z</dcterms:modified>
  <cp:category/>
  <cp:contentStatus/>
</cp:coreProperties>
</file>