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C7" w:rsidRPr="00B33952" w:rsidRDefault="008F02C7" w:rsidP="008F02C7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2B9A033" wp14:editId="1643A197">
            <wp:simplePos x="0" y="0"/>
            <wp:positionH relativeFrom="column">
              <wp:posOffset>-48895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D00C2C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D86B51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678" w:history="1">
            <w:r w:rsidR="00D86B51" w:rsidRPr="00E554AB">
              <w:rPr>
                <w:rStyle w:val="Hyperlink"/>
                <w:noProof/>
                <w:lang w:val="fr-LU"/>
              </w:rPr>
              <w:t>1</w:t>
            </w:r>
            <w:r w:rsidR="00D86B5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Introduction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_Toc511640678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3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473F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79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Mise en contexte de l’analyse des risques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_Toc511640679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3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473F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0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Objectifs du document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_Toc511640680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3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473F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1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Acronymes/Glossaire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_Toc511640681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3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473FD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82" w:history="1">
            <w:r w:rsidR="00D86B51" w:rsidRPr="00E554AB">
              <w:rPr>
                <w:rStyle w:val="Hyperlink"/>
                <w:noProof/>
                <w:lang w:val="fr-LU"/>
              </w:rPr>
              <w:t>2</w:t>
            </w:r>
            <w:r w:rsidR="00D86B5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Modélisation</w:t>
            </w:r>
            <w:r w:rsidR="00D86B51" w:rsidRPr="00E554AB">
              <w:rPr>
                <w:rStyle w:val="Hyperlink"/>
                <w:noProof/>
              </w:rPr>
              <w:t xml:space="preserve"> </w:t>
            </w:r>
            <w:r w:rsidR="00D86B51" w:rsidRPr="00E554AB">
              <w:rPr>
                <w:rStyle w:val="Hyperlink"/>
                <w:noProof/>
                <w:lang w:val="fr-LU"/>
              </w:rPr>
              <w:t>du contexte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_Toc511640682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4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473F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3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Identification des actifs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_Toc511640683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4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473F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4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BE"/>
              </w:rPr>
              <w:t>2.2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Identification des vulnérabilités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_Toc511640684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4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473F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85" w:history="1">
            <w:r w:rsidR="00D86B51" w:rsidRPr="00E554AB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D86B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D86B51" w:rsidRPr="00E554AB">
              <w:rPr>
                <w:rStyle w:val="Hyperlink"/>
                <w:noProof/>
                <w:lang w:val="fr-LU"/>
              </w:rPr>
              <w:t>Appréciation des conséquences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_Toc511640685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4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86B51" w:rsidRDefault="00473F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86" w:history="1">
            <w:r w:rsidR="00D86B51" w:rsidRPr="00E554AB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D86B51">
              <w:rPr>
                <w:noProof/>
                <w:webHidden/>
              </w:rPr>
              <w:tab/>
            </w:r>
            <w:r w:rsidR="00D86B51">
              <w:rPr>
                <w:noProof/>
                <w:webHidden/>
              </w:rPr>
              <w:fldChar w:fldCharType="begin"/>
            </w:r>
            <w:r w:rsidR="00D86B51">
              <w:rPr>
                <w:noProof/>
                <w:webHidden/>
              </w:rPr>
              <w:instrText xml:space="preserve"> PAGEREF _Toc511640686 \h </w:instrText>
            </w:r>
            <w:r w:rsidR="00D86B51">
              <w:rPr>
                <w:noProof/>
                <w:webHidden/>
              </w:rPr>
            </w:r>
            <w:r w:rsidR="00D86B51">
              <w:rPr>
                <w:noProof/>
                <w:webHidden/>
              </w:rPr>
              <w:fldChar w:fldCharType="separate"/>
            </w:r>
            <w:r w:rsidR="00D86B51">
              <w:rPr>
                <w:noProof/>
                <w:webHidden/>
              </w:rPr>
              <w:t>5</w:t>
            </w:r>
            <w:r w:rsidR="00D86B51">
              <w:rPr>
                <w:noProof/>
                <w:webHidden/>
              </w:rPr>
              <w:fldChar w:fldCharType="end"/>
            </w:r>
          </w:hyperlink>
        </w:p>
        <w:p w:rsidR="00D00C2C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</w:p>
        <w:p w:rsidR="00D00C2C" w:rsidRPr="00CE5314" w:rsidRDefault="00D00C2C" w:rsidP="00D00C2C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473FDD" w:rsidP="00C25408">
          <w:pPr>
            <w:rPr>
              <w:b/>
              <w:bCs/>
              <w:noProof/>
            </w:rPr>
          </w:pPr>
        </w:p>
      </w:sdtContent>
    </w:sdt>
    <w:p w:rsidR="00C25408" w:rsidRDefault="00C25408" w:rsidP="00D00C2C">
      <w:pPr>
        <w:spacing w:after="200" w:line="276" w:lineRule="auto"/>
        <w:ind w:right="0"/>
        <w:jc w:val="center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511640678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511640679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511640680"/>
      <w:r w:rsidRPr="00C815E7">
        <w:rPr>
          <w:lang w:val="fr-LU"/>
        </w:rPr>
        <w:t>Objectifs du document</w:t>
      </w:r>
      <w:bookmarkEnd w:id="10"/>
    </w:p>
    <w:p w:rsidR="00D00C2C" w:rsidRPr="00D00C2C" w:rsidRDefault="00D00C2C" w:rsidP="00D00C2C">
      <w:pPr>
        <w:rPr>
          <w:lang w:val="fr-LU"/>
        </w:rPr>
      </w:pPr>
      <w:r w:rsidRPr="00D00C2C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D00C2C" w:rsidRPr="00D00C2C" w:rsidRDefault="00D00C2C" w:rsidP="00D00C2C">
      <w:pPr>
        <w:rPr>
          <w:lang w:val="fr-LU"/>
        </w:rPr>
      </w:pPr>
      <w:r w:rsidRPr="00D00C2C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D00C2C">
      <w:pPr>
        <w:pStyle w:val="Heading2"/>
        <w:numPr>
          <w:ilvl w:val="1"/>
          <w:numId w:val="1"/>
        </w:numPr>
        <w:rPr>
          <w:lang w:val="fr-LU"/>
        </w:rPr>
      </w:pPr>
      <w:bookmarkStart w:id="11" w:name="_Toc511640681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1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2" w:name="_Toc511640682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12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511640683"/>
      <w:r w:rsidRPr="002B3790">
        <w:rPr>
          <w:lang w:val="fr-LU"/>
        </w:rPr>
        <w:t>Identification des actifs</w:t>
      </w:r>
      <w:bookmarkEnd w:id="13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14" w:name="_Toc511640684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14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511640685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15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>. Pour un gain de temps, tous les actifs secondaires qui entreront dans la</w:t>
      </w:r>
      <w:bookmarkStart w:id="16" w:name="_GoBack"/>
      <w:bookmarkEnd w:id="16"/>
      <w:r w:rsidRPr="00455819">
        <w:rPr>
          <w:color w:val="000000" w:themeColor="text1"/>
          <w:lang w:val="fr-LU"/>
        </w:rPr>
        <w:t xml:space="preserve">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17" w:name="_Toc511640686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17"/>
    </w:p>
    <w:p w:rsidR="00D00C2C" w:rsidRPr="00D00C2C" w:rsidRDefault="00D00C2C" w:rsidP="00D00C2C">
      <w:pPr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</w:p>
    <w:sectPr w:rsidR="003D67C6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6B" w:rsidRDefault="0018766B" w:rsidP="002112D1">
      <w:r>
        <w:separator/>
      </w:r>
    </w:p>
  </w:endnote>
  <w:endnote w:type="continuationSeparator" w:id="0">
    <w:p w:rsidR="0018766B" w:rsidRDefault="0018766B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473FDD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473FDD">
      <w:rPr>
        <w:rFonts w:ascii="Century Schoolbook" w:hAnsi="Century Schoolbook"/>
        <w:i w:val="0"/>
        <w:noProof/>
        <w:color w:val="auto"/>
      </w:rPr>
      <w:t>5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6B" w:rsidRDefault="0018766B" w:rsidP="002112D1">
      <w:r>
        <w:separator/>
      </w:r>
    </w:p>
  </w:footnote>
  <w:footnote w:type="continuationSeparator" w:id="0">
    <w:p w:rsidR="0018766B" w:rsidRDefault="0018766B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274D63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8F02C7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40CD13FA" wp14:editId="16843C28">
                <wp:simplePos x="0" y="0"/>
                <wp:positionH relativeFrom="column">
                  <wp:posOffset>12065</wp:posOffset>
                </wp:positionH>
                <wp:positionV relativeFrom="paragraph">
                  <wp:posOffset>5080</wp:posOffset>
                </wp:positionV>
                <wp:extent cx="1524635" cy="575945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46785"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274D63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274D63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274D63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274D63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66B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4D63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3FDD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02C7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712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0C2C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B51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2EF5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2017-07-25T08:41:00Z</dcterms:created>
  <dcterms:modified xsi:type="dcterms:W3CDTF">2022-11-16T13:59:00Z</dcterms:modified>
  <cp:category/>
  <cp:contentStatus/>
</cp:coreProperties>
</file>