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Guidelines for annotating </w:t>
      </w:r>
      <w:r w:rsidDel="00000000" w:rsidR="00000000" w:rsidRPr="00000000">
        <w:rPr>
          <w:rtl w:val="0"/>
        </w:rPr>
        <w:t xml:space="preserve">molecular adaptor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molecular adaptor activity is the binding activity of a molecule that brings together two or more molecules through a selective, non-covalent, often stoichiometric interaction, permitting those molecules to function in a coordinated way.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76" w:lineRule="auto"/>
        <w:rPr/>
      </w:pPr>
      <w:bookmarkStart w:colFirst="0" w:colLast="0" w:name="_z0ssyg6joyf2" w:id="1"/>
      <w:bookmarkEnd w:id="1"/>
      <w:r w:rsidDel="00000000" w:rsidR="00000000" w:rsidRPr="00000000">
        <w:rPr>
          <w:rtl w:val="0"/>
        </w:rPr>
        <w:t xml:space="preserve">Pathway Editor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molecular activity unit for a </w:t>
      </w:r>
      <w:r w:rsidDel="00000000" w:rsidR="00000000" w:rsidRPr="00000000">
        <w:rPr>
          <w:u w:val="single"/>
          <w:rtl w:val="0"/>
        </w:rPr>
        <w:t xml:space="preserve">molecular adaptor</w:t>
      </w:r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enables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molecular adaptor activity (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GO:0060090</w:t>
        </w:r>
      </w:hyperlink>
      <w:r w:rsidDel="00000000" w:rsidR="00000000" w:rsidRPr="00000000">
        <w:rPr>
          <w:rtl w:val="0"/>
        </w:rPr>
        <w:t xml:space="preserve">) or a child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 between the adaptor activity and the two (or more) molecules it brings together is </w:t>
      </w:r>
      <w:r w:rsidDel="00000000" w:rsidR="00000000" w:rsidRPr="00000000">
        <w:rPr>
          <w:u w:val="single"/>
          <w:rtl w:val="0"/>
        </w:rPr>
        <w:t xml:space="preserve">'has input'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u w:val="single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 the BP in which the adaptor participates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occurs in</w:t>
      </w:r>
      <w:r w:rsidDel="00000000" w:rsidR="00000000" w:rsidRPr="00000000">
        <w:rPr>
          <w:rtl w:val="0"/>
        </w:rPr>
        <w:t xml:space="preserve">' the cellular location where the activity takes place.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relation between the adaptor and the proteins it adapts can be '</w:t>
      </w:r>
      <w:r w:rsidDel="00000000" w:rsidR="00000000" w:rsidRPr="00000000">
        <w:rPr>
          <w:u w:val="single"/>
          <w:rtl w:val="0"/>
        </w:rPr>
        <w:t xml:space="preserve">directly positively regulates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  or '</w:t>
      </w:r>
      <w:r w:rsidDel="00000000" w:rsidR="00000000" w:rsidRPr="00000000">
        <w:rPr>
          <w:u w:val="single"/>
          <w:rtl w:val="0"/>
        </w:rPr>
        <w:t xml:space="preserve">provides input for</w:t>
      </w:r>
      <w:r w:rsidDel="00000000" w:rsidR="00000000" w:rsidRPr="00000000">
        <w:rPr>
          <w:rtl w:val="0"/>
        </w:rPr>
        <w:t xml:space="preserve">', depending if the activity of the adaptor is regulatory.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TYROBP acts as an adaptor between a receptor and a downstream effector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SIGLEC1 recognizes and endocytoses virions, which leads to activation of the TYROBP molecular adaptor, which recruits PTPN11. The scaffolding activity of PTPN11 is activated by TYROBP.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565525" cy="1562100"/>
            <wp:effectExtent b="0" l="0" r="0" t="0"/>
            <wp:docPr descr="A screenshot of a computer&#10;&#10;Description automatically generated with medium confidence" id="3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2.png"/>
                    <pic:cNvPicPr preferRelativeResize="0"/>
                  </pic:nvPicPr>
                  <pic:blipFill>
                    <a:blip r:embed="rId8"/>
                    <a:srcRect b="37900" l="33362" r="21917" t="27285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 adaptor that brings together an enzyme and its substrate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423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that case, the relation between the adaptor activity and the downstream activity is '</w:t>
      </w:r>
      <w:r w:rsidDel="00000000" w:rsidR="00000000" w:rsidRPr="00000000">
        <w:rPr>
          <w:u w:val="single"/>
          <w:rtl w:val="0"/>
        </w:rPr>
        <w:t xml:space="preserve">provides input for</w:t>
      </w:r>
      <w:r w:rsidDel="00000000" w:rsidR="00000000" w:rsidRPr="00000000">
        <w:rPr>
          <w:rtl w:val="0"/>
        </w:rPr>
        <w:t xml:space="preserve">'.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0" w:line="276" w:lineRule="auto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ji381mpge1tb" w:id="2"/>
      <w:bookmarkEnd w:id="2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Form Editor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enables</w:t>
      </w:r>
      <w:r w:rsidDel="00000000" w:rsidR="00000000" w:rsidRPr="00000000">
        <w:rPr>
          <w:rtl w:val="0"/>
        </w:rPr>
        <w:t xml:space="preserve">' molecular adaptor activity (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GO:0060090</w:t>
        </w:r>
      </w:hyperlink>
      <w:r w:rsidDel="00000000" w:rsidR="00000000" w:rsidRPr="00000000">
        <w:rPr>
          <w:rtl w:val="0"/>
        </w:rPr>
        <w:t xml:space="preserve">) or a child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relation between the adaptor activity and the two (or more) molecules it brings together is </w:t>
      </w:r>
      <w:r w:rsidDel="00000000" w:rsidR="00000000" w:rsidRPr="00000000">
        <w:rPr>
          <w:u w:val="single"/>
          <w:rtl w:val="0"/>
        </w:rPr>
        <w:t xml:space="preserve">'has input'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' the BP in which the adaptor participates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occurs in</w:t>
      </w:r>
      <w:r w:rsidDel="00000000" w:rsidR="00000000" w:rsidRPr="00000000">
        <w:rPr>
          <w:rtl w:val="0"/>
        </w:rPr>
        <w:t xml:space="preserve">' the cellular location where the activity takes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="276" w:lineRule="auto"/>
        <w:rPr/>
      </w:pPr>
      <w:bookmarkStart w:colFirst="0" w:colLast="0" w:name="_8x10te92i4uq" w:id="3"/>
      <w:bookmarkEnd w:id="3"/>
      <w:r w:rsidDel="00000000" w:rsidR="00000000" w:rsidRPr="00000000">
        <w:rPr>
          <w:rtl w:val="0"/>
        </w:rPr>
        <w:t xml:space="preserve">Differences between GO-CAM and standard annotation of a molecular adaptor activity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In standard annotation (captured with the Noctua Form or Protein2GO), relations between molecular functions are not captured.</w:t>
      </w:r>
    </w:p>
    <w:p w:rsidR="00000000" w:rsidDel="00000000" w:rsidP="00000000" w:rsidRDefault="00000000" w:rsidRPr="00000000" w14:paraId="0000002E">
      <w:pPr>
        <w:pStyle w:val="Heading1"/>
        <w:spacing w:after="0" w:before="0" w:line="276" w:lineRule="auto"/>
        <w:rPr/>
      </w:pPr>
      <w:bookmarkStart w:colFirst="0" w:colLast="0" w:name="_4r3pf1klbc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="276" w:lineRule="auto"/>
        <w:rPr/>
      </w:pPr>
      <w:bookmarkStart w:colFirst="0" w:colLast="0" w:name="_uy53gzyjxu7v" w:id="5"/>
      <w:bookmarkEnd w:id="5"/>
      <w:r w:rsidDel="00000000" w:rsidR="00000000" w:rsidRPr="00000000">
        <w:rPr>
          <w:rtl w:val="0"/>
        </w:rPr>
        <w:t xml:space="preserve">Review information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Review date: 2023-07-20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Reviewed by: Cristina Casals, Pascale Gaudet, Patrick Masson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bi.ac.uk/QuickGO/term/GO:0060090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://noctua.geneontology.org/workbench/noctua-visual-pathway-editor/?model_id=gomodel%3A636d9ce80000119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i.ac.uk/QuickGO/term/GO:0060090" TargetMode="External"/><Relationship Id="rId7" Type="http://schemas.openxmlformats.org/officeDocument/2006/relationships/hyperlink" Target="http://noctua.geneontology.org/workbench/noctua-visual-pathway-editor/?model_id=gomodel%3A633b01330000119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