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Guidelines for annotating molecular s</w:t>
      </w:r>
      <w:r w:rsidDel="00000000" w:rsidR="00000000" w:rsidRPr="00000000">
        <w:rPr>
          <w:rtl w:val="0"/>
        </w:rPr>
        <w:t xml:space="preserve">equestering activity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sequestering activity is defined as the binding to a specific molecule to prevent it from interacting with other partners or to inhibit its localization to the area of the cell or complex where the target is active.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keepNext w:val="0"/>
        <w:keepLines w:val="0"/>
        <w:spacing w:after="0" w:before="0" w:line="240" w:lineRule="auto"/>
        <w:rPr/>
      </w:pPr>
      <w:bookmarkStart w:colFirst="0" w:colLast="0" w:name="_s93n81bnodzh" w:id="1"/>
      <w:bookmarkEnd w:id="1"/>
      <w:r w:rsidDel="00000000" w:rsidR="00000000" w:rsidRPr="00000000">
        <w:rPr>
          <w:rtl w:val="0"/>
        </w:rPr>
        <w:t xml:space="preserve">Pathway Editor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240" w:lineRule="auto"/>
        <w:rPr>
          <w:b w:val="1"/>
        </w:rPr>
      </w:pPr>
      <w:r w:rsidDel="00000000" w:rsidR="00000000" w:rsidRPr="00000000">
        <w:rPr>
          <w:rtl w:val="0"/>
        </w:rPr>
        <w:t xml:space="preserve">The activity unit for a </w:t>
      </w:r>
      <w:r w:rsidDel="00000000" w:rsidR="00000000" w:rsidRPr="00000000">
        <w:rPr>
          <w:u w:val="single"/>
          <w:rtl w:val="0"/>
        </w:rPr>
        <w:t xml:space="preserve">molecular sequestering activity</w:t>
      </w:r>
      <w:r w:rsidDel="00000000" w:rsidR="00000000" w:rsidRPr="00000000">
        <w:rPr>
          <w:rtl w:val="0"/>
        </w:rPr>
        <w:t xml:space="preserve"> is:</w:t>
      </w:r>
      <w:r w:rsidDel="00000000" w:rsidR="00000000" w:rsidRPr="00000000">
        <w:rPr>
          <w:rtl w:val="0"/>
        </w:rPr>
      </w:r>
    </w:p>
    <w:p w:rsidR="00000000" w:rsidDel="00000000" w:rsidP="00000000" w:rsidRDefault="00000000" w:rsidRPr="00000000" w14:paraId="00000009">
      <w:pPr>
        <w:numPr>
          <w:ilvl w:val="0"/>
          <w:numId w:val="1"/>
        </w:numPr>
        <w:spacing w:line="240" w:lineRule="auto"/>
        <w:ind w:left="720" w:hanging="360"/>
        <w:rPr>
          <w:u w:val="none"/>
        </w:rPr>
      </w:pPr>
      <w:r w:rsidDel="00000000" w:rsidR="00000000" w:rsidRPr="00000000">
        <w:rPr>
          <w:b w:val="1"/>
          <w:rtl w:val="0"/>
        </w:rPr>
        <w:t xml:space="preserve">MF</w:t>
      </w:r>
      <w:r w:rsidDel="00000000" w:rsidR="00000000" w:rsidRPr="00000000">
        <w:rPr>
          <w:rtl w:val="0"/>
        </w:rPr>
        <w:t xml:space="preserve">: molecular sequestering activity (</w:t>
      </w:r>
      <w:hyperlink r:id="rId6">
        <w:r w:rsidDel="00000000" w:rsidR="00000000" w:rsidRPr="00000000">
          <w:rPr>
            <w:color w:val="1155cc"/>
            <w:u w:val="single"/>
            <w:rtl w:val="0"/>
          </w:rPr>
          <w:t xml:space="preserve">GO:0140313)</w:t>
        </w:r>
      </w:hyperlink>
      <w:r w:rsidDel="00000000" w:rsidR="00000000" w:rsidRPr="00000000">
        <w:rPr>
          <w:rtl w:val="0"/>
        </w:rPr>
        <w:t xml:space="preserve">. </w:t>
      </w:r>
      <w:r w:rsidDel="00000000" w:rsidR="00000000" w:rsidRPr="00000000">
        <w:rPr>
          <w:b w:val="1"/>
          <w:rtl w:val="0"/>
        </w:rPr>
        <w:t xml:space="preserve">The most commonly used child is protein sequestering activity (</w:t>
      </w:r>
      <w:hyperlink r:id="rId7">
        <w:r w:rsidDel="00000000" w:rsidR="00000000" w:rsidRPr="00000000">
          <w:rPr>
            <w:b w:val="1"/>
            <w:color w:val="1155cc"/>
            <w:u w:val="single"/>
            <w:rtl w:val="0"/>
          </w:rPr>
          <w:t xml:space="preserve">GO:0140311</w:t>
        </w:r>
      </w:hyperlink>
      <w:r w:rsidDel="00000000" w:rsidR="00000000" w:rsidRPr="00000000">
        <w:rPr>
          <w:b w:val="1"/>
          <w:rtl w:val="0"/>
        </w:rPr>
        <w:t xml:space="preserve">).</w:t>
      </w:r>
      <w:r w:rsidDel="00000000" w:rsidR="00000000" w:rsidRPr="00000000">
        <w:rPr>
          <w:b w:val="1"/>
          <w:rtl w:val="0"/>
        </w:rPr>
        <w:t xml:space="preserve"> </w:t>
        <w:br w:type="textWrapping"/>
      </w:r>
    </w:p>
    <w:p w:rsidR="00000000" w:rsidDel="00000000" w:rsidP="00000000" w:rsidRDefault="00000000" w:rsidRPr="00000000" w14:paraId="0000000A">
      <w:pPr>
        <w:numPr>
          <w:ilvl w:val="0"/>
          <w:numId w:val="1"/>
        </w:numPr>
        <w:spacing w:line="240" w:lineRule="auto"/>
        <w:ind w:left="720" w:hanging="360"/>
        <w:rPr>
          <w:b w:val="1"/>
          <w:u w:val="none"/>
        </w:rPr>
      </w:pPr>
      <w:r w:rsidDel="00000000" w:rsidR="00000000" w:rsidRPr="00000000">
        <w:rPr>
          <w:b w:val="1"/>
          <w:rtl w:val="0"/>
        </w:rPr>
        <w:t xml:space="preserve">Context: </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The relation between the protein that act to sequester and its target is </w:t>
      </w:r>
      <w:r w:rsidDel="00000000" w:rsidR="00000000" w:rsidRPr="00000000">
        <w:rPr>
          <w:i w:val="1"/>
          <w:rtl w:val="0"/>
        </w:rPr>
        <w:t xml:space="preserve">'</w:t>
      </w:r>
      <w:r w:rsidDel="00000000" w:rsidR="00000000" w:rsidRPr="00000000">
        <w:rPr>
          <w:u w:val="single"/>
          <w:rtl w:val="0"/>
        </w:rPr>
        <w:t xml:space="preserve">has input'</w:t>
      </w:r>
      <w:r w:rsidDel="00000000" w:rsidR="00000000" w:rsidRPr="00000000">
        <w:rPr>
          <w:rtl w:val="0"/>
        </w:rPr>
        <w:t xml:space="preserve"> </w:t>
      </w:r>
    </w:p>
    <w:p w:rsidR="00000000" w:rsidDel="00000000" w:rsidP="00000000" w:rsidRDefault="00000000" w:rsidRPr="00000000" w14:paraId="0000000C">
      <w:pPr>
        <w:numPr>
          <w:ilvl w:val="1"/>
          <w:numId w:val="1"/>
        </w:numPr>
        <w:ind w:left="1440" w:hanging="360"/>
        <w:rPr>
          <w:u w:val="none"/>
        </w:rPr>
      </w:pPr>
      <w:r w:rsidDel="00000000" w:rsidR="00000000" w:rsidRPr="00000000">
        <w:rPr>
          <w:b w:val="1"/>
          <w:rtl w:val="0"/>
        </w:rPr>
        <w:t xml:space="preserve">BP</w:t>
      </w:r>
      <w:r w:rsidDel="00000000" w:rsidR="00000000" w:rsidRPr="00000000">
        <w:rPr>
          <w:rtl w:val="0"/>
        </w:rPr>
        <w:t xml:space="preserve">: </w:t>
      </w:r>
      <w:r w:rsidDel="00000000" w:rsidR="00000000" w:rsidRPr="00000000">
        <w:rPr>
          <w:u w:val="single"/>
          <w:rtl w:val="0"/>
        </w:rPr>
        <w:t xml:space="preserve">'part of'</w:t>
      </w:r>
      <w:r w:rsidDel="00000000" w:rsidR="00000000" w:rsidRPr="00000000">
        <w:rPr>
          <w:rtl w:val="0"/>
        </w:rPr>
        <w:t xml:space="preserve"> </w:t>
      </w:r>
      <w:r w:rsidDel="00000000" w:rsidR="00000000" w:rsidRPr="00000000">
        <w:rPr>
          <w:rtl w:val="0"/>
        </w:rPr>
        <w:t xml:space="preserve">negative regulation of the BP in which the target protein participates . </w:t>
      </w:r>
    </w:p>
    <w:p w:rsidR="00000000" w:rsidDel="00000000" w:rsidP="00000000" w:rsidRDefault="00000000" w:rsidRPr="00000000" w14:paraId="0000000D">
      <w:pPr>
        <w:numPr>
          <w:ilvl w:val="1"/>
          <w:numId w:val="1"/>
        </w:numPr>
        <w:ind w:left="1440" w:hanging="360"/>
        <w:rPr>
          <w:u w:val="none"/>
        </w:rPr>
      </w:pPr>
      <w:r w:rsidDel="00000000" w:rsidR="00000000" w:rsidRPr="00000000">
        <w:rPr>
          <w:b w:val="1"/>
          <w:rtl w:val="0"/>
        </w:rPr>
        <w:t xml:space="preserve">CC</w:t>
      </w:r>
      <w:r w:rsidDel="00000000" w:rsidR="00000000" w:rsidRPr="00000000">
        <w:rPr>
          <w:rtl w:val="0"/>
        </w:rPr>
        <w:t xml:space="preserve">: the location where the activity occurs.</w:t>
      </w:r>
      <w:r w:rsidDel="00000000" w:rsidR="00000000" w:rsidRPr="00000000">
        <w:rPr>
          <w:rtl w:val="0"/>
        </w:rPr>
      </w:r>
    </w:p>
    <w:p w:rsidR="00000000" w:rsidDel="00000000" w:rsidP="00000000" w:rsidRDefault="00000000" w:rsidRPr="00000000" w14:paraId="0000000E">
      <w:pPr>
        <w:numPr>
          <w:ilvl w:val="1"/>
          <w:numId w:val="1"/>
        </w:numPr>
        <w:spacing w:line="240" w:lineRule="auto"/>
        <w:ind w:left="1440" w:hanging="360"/>
        <w:rPr>
          <w:u w:val="none"/>
        </w:rPr>
      </w:pPr>
      <w:r w:rsidDel="00000000" w:rsidR="00000000" w:rsidRPr="00000000">
        <w:rPr>
          <w:rtl w:val="0"/>
        </w:rPr>
        <w:t xml:space="preserve">The causal relation between the </w:t>
      </w:r>
      <w:r w:rsidDel="00000000" w:rsidR="00000000" w:rsidRPr="00000000">
        <w:rPr>
          <w:b w:val="1"/>
          <w:rtl w:val="0"/>
        </w:rPr>
        <w:t xml:space="preserve">sequestering activity</w:t>
      </w:r>
      <w:r w:rsidDel="00000000" w:rsidR="00000000" w:rsidRPr="00000000">
        <w:rPr>
          <w:rtl w:val="0"/>
        </w:rPr>
        <w:t xml:space="preserve"> </w:t>
      </w:r>
      <w:r w:rsidDel="00000000" w:rsidR="00000000" w:rsidRPr="00000000">
        <w:rPr>
          <w:rtl w:val="0"/>
        </w:rPr>
        <w:t xml:space="preserve">and the </w:t>
      </w:r>
      <w:r w:rsidDel="00000000" w:rsidR="00000000" w:rsidRPr="00000000">
        <w:rPr>
          <w:rtl w:val="0"/>
        </w:rPr>
        <w:t xml:space="preserve">activity of the protein it inhibits is </w:t>
      </w:r>
      <w:r w:rsidDel="00000000" w:rsidR="00000000" w:rsidRPr="00000000">
        <w:rPr>
          <w:u w:val="single"/>
          <w:rtl w:val="0"/>
        </w:rPr>
        <w:t xml:space="preserve">'directly negatively regulates</w:t>
      </w:r>
      <w:r w:rsidDel="00000000" w:rsidR="00000000" w:rsidRPr="00000000">
        <w:rPr>
          <w:rtl w:val="0"/>
        </w:rPr>
        <w:t xml:space="preserve">' because there is a direct interaction between the two proteins.</w:t>
      </w:r>
    </w:p>
    <w:p w:rsidR="00000000" w:rsidDel="00000000" w:rsidP="00000000" w:rsidRDefault="00000000" w:rsidRPr="00000000" w14:paraId="0000000F">
      <w:pPr>
        <w:spacing w:line="240" w:lineRule="auto"/>
        <w:ind w:left="144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Example 1: </w:t>
      </w:r>
      <w:hyperlink r:id="rId8">
        <w:r w:rsidDel="00000000" w:rsidR="00000000" w:rsidRPr="00000000">
          <w:rPr>
            <w:b w:val="1"/>
            <w:color w:val="1155cc"/>
            <w:sz w:val="24"/>
            <w:szCs w:val="24"/>
            <w:u w:val="single"/>
            <w:rtl w:val="0"/>
          </w:rPr>
          <w:t xml:space="preserve">Sequestering activity of CAV1 negatively regulates TLR4 signaling</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0" distT="0" distL="0" distR="0">
            <wp:extent cx="5978846" cy="1543988"/>
            <wp:effectExtent b="0" l="0" r="0" t="0"/>
            <wp:docPr descr="A screenshot of a computer&#10;&#10;Description automatically generated with medium confidence" id="2" name="image2.png"/>
            <a:graphic>
              <a:graphicData uri="http://schemas.openxmlformats.org/drawingml/2006/picture">
                <pic:pic>
                  <pic:nvPicPr>
                    <pic:cNvPr descr="A screenshot of a computer&#10;&#10;Description automatically generated with medium confidence" id="0" name="image2.png"/>
                    <pic:cNvPicPr preferRelativeResize="0"/>
                  </pic:nvPicPr>
                  <pic:blipFill>
                    <a:blip r:embed="rId9"/>
                    <a:srcRect b="28500" l="7313" r="1950" t="29841"/>
                    <a:stretch>
                      <a:fillRect/>
                    </a:stretch>
                  </pic:blipFill>
                  <pic:spPr>
                    <a:xfrm>
                      <a:off x="0" y="0"/>
                      <a:ext cx="5978846" cy="15439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Example 2: </w:t>
      </w:r>
      <w:hyperlink r:id="rId10">
        <w:r w:rsidDel="00000000" w:rsidR="00000000" w:rsidRPr="00000000">
          <w:rPr>
            <w:b w:val="1"/>
            <w:color w:val="1155cc"/>
            <w:sz w:val="24"/>
            <w:szCs w:val="24"/>
            <w:u w:val="single"/>
            <w:rtl w:val="0"/>
          </w:rPr>
          <w:t xml:space="preserve">Trans-negative regulation of Sars-CoV-2 viral entry into host cell by LRRC15.</w:t>
        </w:r>
      </w:hyperlink>
      <w:r w:rsidDel="00000000" w:rsidR="00000000" w:rsidRPr="00000000">
        <w:rPr>
          <w:rtl w:val="0"/>
        </w:rPr>
      </w:r>
    </w:p>
    <w:p w:rsidR="00000000" w:rsidDel="00000000" w:rsidP="00000000" w:rsidRDefault="00000000" w:rsidRPr="00000000" w14:paraId="00000018">
      <w:pPr>
        <w:rPr>
          <w:highlight w:val="yellow"/>
        </w:rPr>
      </w:pPr>
      <w:r w:rsidDel="00000000" w:rsidR="00000000" w:rsidRPr="00000000">
        <w:rPr>
          <w:b w:val="1"/>
          <w:sz w:val="24"/>
          <w:szCs w:val="24"/>
        </w:rPr>
        <w:drawing>
          <wp:inline distB="114300" distT="114300" distL="114300" distR="114300">
            <wp:extent cx="5731200" cy="17399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highlight w:val="yellow"/>
        </w:rPr>
      </w:pPr>
      <w:r w:rsidDel="00000000" w:rsidR="00000000" w:rsidRPr="00000000">
        <w:rPr>
          <w:rtl w:val="0"/>
        </w:rPr>
      </w:r>
    </w:p>
    <w:p w:rsidR="00000000" w:rsidDel="00000000" w:rsidP="00000000" w:rsidRDefault="00000000" w:rsidRPr="00000000" w14:paraId="0000001A">
      <w:pPr>
        <w:rPr>
          <w:highlight w:val="yellow"/>
        </w:rPr>
      </w:pPr>
      <w:r w:rsidDel="00000000" w:rsidR="00000000" w:rsidRPr="00000000">
        <w:rPr>
          <w:rtl w:val="0"/>
        </w:rPr>
      </w:r>
    </w:p>
    <w:p w:rsidR="00000000" w:rsidDel="00000000" w:rsidP="00000000" w:rsidRDefault="00000000" w:rsidRPr="00000000" w14:paraId="0000001B">
      <w:pPr>
        <w:pStyle w:val="Heading1"/>
        <w:keepNext w:val="0"/>
        <w:keepLines w:val="0"/>
        <w:spacing w:after="0" w:before="0" w:line="240" w:lineRule="auto"/>
        <w:rPr/>
      </w:pPr>
      <w:bookmarkStart w:colFirst="0" w:colLast="0" w:name="_48d4dap9ofu4" w:id="2"/>
      <w:bookmarkEnd w:id="2"/>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keepNext w:val="0"/>
        <w:keepLines w:val="0"/>
        <w:spacing w:after="0" w:before="0" w:line="240" w:lineRule="auto"/>
        <w:rPr/>
      </w:pPr>
      <w:bookmarkStart w:colFirst="0" w:colLast="0" w:name="_zb4u0vgo0a24" w:id="3"/>
      <w:bookmarkEnd w:id="3"/>
      <w:r w:rsidDel="00000000" w:rsidR="00000000" w:rsidRPr="00000000">
        <w:rPr>
          <w:rtl w:val="0"/>
        </w:rPr>
        <w:t xml:space="preserve">Form Editor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t xml:space="preserve">The activity unit for </w:t>
      </w:r>
      <w:r w:rsidDel="00000000" w:rsidR="00000000" w:rsidRPr="00000000">
        <w:rPr>
          <w:u w:val="single"/>
          <w:rtl w:val="0"/>
        </w:rPr>
        <w:t xml:space="preserve">sequestering activity</w:t>
      </w:r>
      <w:r w:rsidDel="00000000" w:rsidR="00000000" w:rsidRPr="00000000">
        <w:rPr>
          <w:rtl w:val="0"/>
        </w:rPr>
        <w:t xml:space="preserve"> is:</w:t>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numPr>
          <w:ilvl w:val="0"/>
          <w:numId w:val="1"/>
        </w:numPr>
        <w:spacing w:line="240" w:lineRule="auto"/>
        <w:ind w:left="720" w:hanging="360"/>
      </w:pPr>
      <w:r w:rsidDel="00000000" w:rsidR="00000000" w:rsidRPr="00000000">
        <w:rPr>
          <w:b w:val="1"/>
          <w:rtl w:val="0"/>
        </w:rPr>
        <w:t xml:space="preserve">MF</w:t>
      </w:r>
      <w:r w:rsidDel="00000000" w:rsidR="00000000" w:rsidRPr="00000000">
        <w:rPr>
          <w:rtl w:val="0"/>
        </w:rPr>
        <w:t xml:space="preserve">: molecular sequestering activity (</w:t>
      </w:r>
      <w:hyperlink r:id="rId12">
        <w:r w:rsidDel="00000000" w:rsidR="00000000" w:rsidRPr="00000000">
          <w:rPr>
            <w:color w:val="0563c1"/>
            <w:u w:val="single"/>
            <w:rtl w:val="0"/>
          </w:rPr>
          <w:t xml:space="preserve">GO:0140313</w:t>
        </w:r>
      </w:hyperlink>
      <w:r w:rsidDel="00000000" w:rsidR="00000000" w:rsidRPr="00000000">
        <w:rPr>
          <w:rtl w:val="0"/>
        </w:rPr>
        <w:t xml:space="preserve">) or a child</w:t>
      </w:r>
    </w:p>
    <w:p w:rsidR="00000000" w:rsidDel="00000000" w:rsidP="00000000" w:rsidRDefault="00000000" w:rsidRPr="00000000" w14:paraId="00000021">
      <w:pPr>
        <w:numPr>
          <w:ilvl w:val="0"/>
          <w:numId w:val="1"/>
        </w:numPr>
        <w:spacing w:line="240" w:lineRule="auto"/>
        <w:ind w:left="720" w:hanging="360"/>
        <w:rPr>
          <w:b w:val="1"/>
        </w:rPr>
      </w:pPr>
      <w:r w:rsidDel="00000000" w:rsidR="00000000" w:rsidRPr="00000000">
        <w:rPr>
          <w:b w:val="1"/>
          <w:rtl w:val="0"/>
        </w:rPr>
        <w:t xml:space="preserve">Context: </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The relation between the protein that act to sequester and its target receptor is </w:t>
      </w:r>
      <w:r w:rsidDel="00000000" w:rsidR="00000000" w:rsidRPr="00000000">
        <w:rPr>
          <w:i w:val="1"/>
          <w:rtl w:val="0"/>
        </w:rPr>
        <w:t xml:space="preserve">'</w:t>
      </w:r>
      <w:r w:rsidDel="00000000" w:rsidR="00000000" w:rsidRPr="00000000">
        <w:rPr>
          <w:u w:val="single"/>
          <w:rtl w:val="0"/>
        </w:rPr>
        <w:t xml:space="preserve">has input'</w:t>
      </w:r>
      <w:r w:rsidDel="00000000" w:rsidR="00000000" w:rsidRPr="00000000">
        <w:rPr>
          <w:rtl w:val="0"/>
        </w:rPr>
        <w:t xml:space="preserve"> </w:t>
      </w:r>
    </w:p>
    <w:p w:rsidR="00000000" w:rsidDel="00000000" w:rsidP="00000000" w:rsidRDefault="00000000" w:rsidRPr="00000000" w14:paraId="00000023">
      <w:pPr>
        <w:numPr>
          <w:ilvl w:val="1"/>
          <w:numId w:val="1"/>
        </w:numPr>
        <w:ind w:left="1440" w:hanging="360"/>
      </w:pPr>
      <w:r w:rsidDel="00000000" w:rsidR="00000000" w:rsidRPr="00000000">
        <w:rPr>
          <w:b w:val="1"/>
          <w:rtl w:val="0"/>
        </w:rPr>
        <w:t xml:space="preserve">BP</w:t>
      </w:r>
      <w:r w:rsidDel="00000000" w:rsidR="00000000" w:rsidRPr="00000000">
        <w:rPr>
          <w:rtl w:val="0"/>
        </w:rPr>
        <w:t xml:space="preserve">: </w:t>
      </w:r>
      <w:r w:rsidDel="00000000" w:rsidR="00000000" w:rsidRPr="00000000">
        <w:rPr>
          <w:rtl w:val="0"/>
        </w:rPr>
        <w:t xml:space="preserve">negative regulation of the BP in which the regulated protein participates  </w:t>
      </w:r>
    </w:p>
    <w:p w:rsidR="00000000" w:rsidDel="00000000" w:rsidP="00000000" w:rsidRDefault="00000000" w:rsidRPr="00000000" w14:paraId="00000024">
      <w:pPr>
        <w:numPr>
          <w:ilvl w:val="1"/>
          <w:numId w:val="1"/>
        </w:numPr>
        <w:ind w:left="1440" w:hanging="360"/>
      </w:pPr>
      <w:r w:rsidDel="00000000" w:rsidR="00000000" w:rsidRPr="00000000">
        <w:rPr>
          <w:b w:val="1"/>
          <w:rtl w:val="0"/>
        </w:rPr>
        <w:t xml:space="preserve">CC</w:t>
      </w:r>
      <w:r w:rsidDel="00000000" w:rsidR="00000000" w:rsidRPr="00000000">
        <w:rPr>
          <w:rtl w:val="0"/>
        </w:rPr>
        <w:t xml:space="preserve">: the location where the activity occurs.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sz w:val="24"/>
          <w:szCs w:val="24"/>
          <w:rtl w:val="0"/>
        </w:rPr>
        <w:t xml:space="preserve">Example 1: </w:t>
      </w:r>
      <w:hyperlink r:id="rId13">
        <w:r w:rsidDel="00000000" w:rsidR="00000000" w:rsidRPr="00000000">
          <w:rPr>
            <w:b w:val="1"/>
            <w:color w:val="1155cc"/>
            <w:sz w:val="24"/>
            <w:szCs w:val="24"/>
            <w:u w:val="single"/>
            <w:rtl w:val="0"/>
          </w:rPr>
          <w:t xml:space="preserve">Sequestering activity of CAV1 negatively regulates TLR4 signaling</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731200" cy="187960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1"/>
        <w:spacing w:line="276" w:lineRule="auto"/>
        <w:rPr>
          <w:rFonts w:ascii="Calibri" w:cs="Calibri" w:eastAsia="Calibri" w:hAnsi="Calibri"/>
        </w:rPr>
      </w:pPr>
      <w:bookmarkStart w:colFirst="0" w:colLast="0" w:name="_8x10te92i4uq" w:id="4"/>
      <w:bookmarkEnd w:id="4"/>
      <w:r w:rsidDel="00000000" w:rsidR="00000000" w:rsidRPr="00000000">
        <w:rPr>
          <w:rtl w:val="0"/>
        </w:rPr>
        <w:t xml:space="preserve">Differences between GO-CAM and standard annotation of a sequestering activity</w:t>
      </w: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t xml:space="preserve">In standard annotation (captured with the Noctua Form or Protein2GO), relations between molecular functions are not captured, so there is no relation between the sequestering activity and the activity of the protein being sequestered.</w:t>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pStyle w:val="Heading1"/>
        <w:spacing w:line="240" w:lineRule="auto"/>
        <w:rPr/>
      </w:pPr>
      <w:bookmarkStart w:colFirst="0" w:colLast="0" w:name="_odqd1yht47r9" w:id="5"/>
      <w:bookmarkEnd w:id="5"/>
      <w:r w:rsidDel="00000000" w:rsidR="00000000" w:rsidRPr="00000000">
        <w:rPr>
          <w:rtl w:val="0"/>
        </w:rPr>
        <w:t xml:space="preserve">Review information</w:t>
      </w:r>
    </w:p>
    <w:p w:rsidR="00000000" w:rsidDel="00000000" w:rsidP="00000000" w:rsidRDefault="00000000" w:rsidRPr="00000000" w14:paraId="0000002E">
      <w:pPr>
        <w:spacing w:line="240" w:lineRule="auto"/>
        <w:rPr>
          <w:highlight w:val="yellow"/>
        </w:rPr>
      </w:pP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rtl w:val="0"/>
        </w:rPr>
        <w:t xml:space="preserve">Review date: 2023-07-25</w:t>
      </w:r>
    </w:p>
    <w:p w:rsidR="00000000" w:rsidDel="00000000" w:rsidP="00000000" w:rsidRDefault="00000000" w:rsidRPr="00000000" w14:paraId="00000030">
      <w:pPr>
        <w:spacing w:line="240" w:lineRule="auto"/>
        <w:rPr/>
      </w:pPr>
      <w:r w:rsidDel="00000000" w:rsidR="00000000" w:rsidRPr="00000000">
        <w:rPr>
          <w:rtl w:val="0"/>
        </w:rPr>
        <w:t xml:space="preserve">Reviewed by: Cristina Casals, Pascale Gaudet, Patrick Masson</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noctua.geneontology.org/workbench/noctua-visual-pathway-editor/?model_id=gomodel%3A63f809ec00000027" TargetMode="External"/><Relationship Id="rId13" Type="http://schemas.openxmlformats.org/officeDocument/2006/relationships/hyperlink" Target="http://noctua.geneontology.org/workbench/noctua-form/?model_id=gomodel%3A645d887900001414" TargetMode="External"/><Relationship Id="rId12" Type="http://schemas.openxmlformats.org/officeDocument/2006/relationships/hyperlink" Target="https://www.ebi.ac.uk/QuickGO/term/GO:014031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ebi.ac.uk/QuickGO/term/GO:0140313" TargetMode="External"/><Relationship Id="rId7" Type="http://schemas.openxmlformats.org/officeDocument/2006/relationships/hyperlink" Target="https://www.ebi.ac.uk/QuickGO/term/GO:0140311" TargetMode="External"/><Relationship Id="rId8" Type="http://schemas.openxmlformats.org/officeDocument/2006/relationships/hyperlink" Target="http://noctua.geneontology.org/workbench/noctua-visual-pathway-editor/?model_id=gomodel%3A645d8879000014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