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40"/>
          <w:szCs w:val="40"/>
        </w:rPr>
      </w:pPr>
      <w:bookmarkStart w:colFirst="0" w:colLast="0" w:name="_70llpsl66ki2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Transcription coregulator activity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The activity unit for a </w:t>
      </w:r>
      <w:r w:rsidDel="00000000" w:rsidR="00000000" w:rsidRPr="00000000">
        <w:rPr>
          <w:u w:val="single"/>
          <w:rtl w:val="0"/>
        </w:rPr>
        <w:t xml:space="preserve">transcription coregulator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MF: </w:t>
      </w:r>
      <w:r w:rsidDel="00000000" w:rsidR="00000000" w:rsidRPr="00000000">
        <w:rPr>
          <w:rtl w:val="0"/>
        </w:rPr>
        <w:t xml:space="preserve">a child of </w:t>
      </w:r>
      <w:r w:rsidDel="00000000" w:rsidR="00000000" w:rsidRPr="00000000">
        <w:rPr>
          <w:u w:val="single"/>
          <w:rtl w:val="0"/>
        </w:rPr>
        <w:t xml:space="preserve">transcription coregulator activity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GO:0003712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transcription coactivator activity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GO:0003713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transcription corepressor activity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GO:0003714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has input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transcription factor regulated, when known.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in which this transcriptional event is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CC: </w:t>
      </w:r>
      <w:r w:rsidDel="00000000" w:rsidR="00000000" w:rsidRPr="00000000">
        <w:rPr>
          <w:rtl w:val="0"/>
        </w:rPr>
        <w:t xml:space="preserve">this activity occurs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nucleus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The causal relation between the transcription </w:t>
      </w:r>
      <w:r w:rsidDel="00000000" w:rsidR="00000000" w:rsidRPr="00000000">
        <w:rPr>
          <w:u w:val="single"/>
          <w:rtl w:val="0"/>
        </w:rPr>
        <w:t xml:space="preserve">coregulator </w:t>
      </w:r>
      <w:r w:rsidDel="00000000" w:rsidR="00000000" w:rsidRPr="00000000">
        <w:rPr>
          <w:rtl w:val="0"/>
        </w:rPr>
        <w:t xml:space="preserve">activity and the transcription factor activity unit is ‘</w:t>
      </w:r>
      <w:r w:rsidDel="00000000" w:rsidR="00000000" w:rsidRPr="00000000">
        <w:rPr>
          <w:u w:val="single"/>
          <w:rtl w:val="0"/>
        </w:rPr>
        <w:t xml:space="preserve">directly positively regulates</w:t>
      </w:r>
      <w:r w:rsidDel="00000000" w:rsidR="00000000" w:rsidRPr="00000000">
        <w:rPr>
          <w:rtl w:val="0"/>
        </w:rPr>
        <w:t xml:space="preserve">’ or </w:t>
      </w:r>
      <w:r w:rsidDel="00000000" w:rsidR="00000000" w:rsidRPr="00000000">
        <w:rPr>
          <w:u w:val="single"/>
          <w:rtl w:val="0"/>
        </w:rPr>
        <w:t xml:space="preserve">'directly negatively regulates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bookmarkStart w:colFirst="0" w:colLast="0" w:name="_mqpm88uam6a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kappm0jjkgg3" w:id="3"/>
      <w:bookmarkEnd w:id="3"/>
      <w:r w:rsidDel="00000000" w:rsidR="00000000" w:rsidRPr="00000000">
        <w:rPr>
          <w:rtl w:val="0"/>
        </w:rPr>
        <w:t xml:space="preserve"> If the causal relation between the coregulator and the target gene regulated needs to be captured, the causal relation is: ‘</w:t>
      </w:r>
      <w:r w:rsidDel="00000000" w:rsidR="00000000" w:rsidRPr="00000000">
        <w:rPr>
          <w:u w:val="single"/>
          <w:rtl w:val="0"/>
        </w:rPr>
        <w:t xml:space="preserve">indirectly positively regulates</w:t>
      </w:r>
      <w:r w:rsidDel="00000000" w:rsidR="00000000" w:rsidRPr="00000000">
        <w:rPr>
          <w:rtl w:val="0"/>
        </w:rPr>
        <w:t xml:space="preserve">’ or </w:t>
      </w:r>
      <w:r w:rsidDel="00000000" w:rsidR="00000000" w:rsidRPr="00000000">
        <w:rPr>
          <w:u w:val="single"/>
          <w:rtl w:val="0"/>
        </w:rPr>
        <w:t xml:space="preserve">'indirectly negatively regulates</w:t>
      </w:r>
      <w:r w:rsidDel="00000000" w:rsidR="00000000" w:rsidRPr="00000000">
        <w:rPr>
          <w:rtl w:val="0"/>
        </w:rPr>
        <w:t xml:space="preserve">’, since there are many steps between the regulation of transcription and the activity of the target protein.</w:t>
      </w:r>
    </w:p>
    <w:p w:rsidR="00000000" w:rsidDel="00000000" w:rsidP="00000000" w:rsidRDefault="00000000" w:rsidRPr="00000000" w14:paraId="00000011">
      <w:pPr>
        <w:spacing w:line="240" w:lineRule="auto"/>
        <w:rPr/>
      </w:pPr>
      <w:bookmarkStart w:colFirst="0" w:colLast="0" w:name="_71q6qsmvodt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dtlqajlv24nz" w:id="5"/>
      <w:bookmarkEnd w:id="5"/>
      <w:r w:rsidDel="00000000" w:rsidR="00000000" w:rsidRPr="00000000">
        <w:rPr>
          <w:rtl w:val="0"/>
        </w:rPr>
        <w:t xml:space="preserve">Example: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GO:0003714 transcription corepressor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otunoxz1zspn" w:id="6"/>
      <w:bookmarkEnd w:id="6"/>
      <w:r w:rsidDel="00000000" w:rsidR="00000000" w:rsidRPr="00000000">
        <w:rPr>
          <w:rtl w:val="0"/>
        </w:rPr>
        <w:t xml:space="preserve">Example: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GO:0003713 transcription coactivator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l1tht5lw6b1i" w:id="7"/>
      <w:bookmarkEnd w:id="7"/>
      <w:r w:rsidDel="00000000" w:rsidR="00000000" w:rsidRPr="00000000">
        <w:rPr>
          <w:rtl w:val="0"/>
        </w:rPr>
        <w:t xml:space="preserve">Example: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GO:0003712 transcription coregulator activity</w:t>
        </w:r>
      </w:hyperlink>
      <w:r w:rsidDel="00000000" w:rsidR="00000000" w:rsidRPr="00000000">
        <w:rPr>
          <w:rtl w:val="0"/>
        </w:rPr>
        <w:t xml:space="preserve"> (BMAL1 binds specifically DNA)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b1ftrr2vohl" w:id="8"/>
      <w:bookmarkEnd w:id="8"/>
      <w:r w:rsidDel="00000000" w:rsidR="00000000" w:rsidRPr="00000000">
        <w:rPr>
          <w:rtl w:val="0"/>
        </w:rPr>
        <w:t xml:space="preserve">Example: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Coregulator of an unknown transcription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Rule="auto"/>
        <w:rPr/>
      </w:pPr>
      <w:bookmarkStart w:colFirst="0" w:colLast="0" w:name="_uy53gzyjxu7v" w:id="9"/>
      <w:bookmarkEnd w:id="9"/>
      <w:r w:rsidDel="00000000" w:rsidR="00000000" w:rsidRPr="00000000">
        <w:rPr>
          <w:rtl w:val="0"/>
        </w:rPr>
        <w:t xml:space="preserve">Review information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be reviewed date: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Created by: Cristina Casals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noctua.geneontology.org/workbench/noctua-visual-pathway-editor/?model_id=gomodel%3A62900b640000163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noctua.geneontology.org/workbench/noctua-visual-pathway-editor/?model_id=gomodel%3A63894f25000010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i.ac.uk/QuickGO/term/GO:0005634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noctua.geneontology.org/workbench/noctua-visual-pathway-editor/?model_id=gomodel%3A648d0dc100000022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noctua.geneontology.org/workbench/noctua-visual-pathway-editor/?model_id=gomodel%3A62900b640000163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QuickGO/term/GO:0003712" TargetMode="External"/><Relationship Id="rId7" Type="http://schemas.openxmlformats.org/officeDocument/2006/relationships/hyperlink" Target="https://www.ebi.ac.uk/QuickGO/term/GO:0003713" TargetMode="External"/><Relationship Id="rId8" Type="http://schemas.openxmlformats.org/officeDocument/2006/relationships/hyperlink" Target="https://www.ebi.ac.uk/QuickGO/term/GO:00037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