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6" w:lineRule="auto"/>
        <w:rPr/>
      </w:pPr>
      <w:bookmarkStart w:colFirst="0" w:colLast="0" w:name="_odbaylk7yfjb" w:id="0"/>
      <w:bookmarkEnd w:id="0"/>
      <w:r w:rsidDel="00000000" w:rsidR="00000000" w:rsidRPr="00000000">
        <w:rPr>
          <w:rtl w:val="0"/>
        </w:rPr>
        <w:t xml:space="preserve">Guidelines for annotating transporter activity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76" w:lineRule="auto"/>
        <w:rPr/>
      </w:pPr>
      <w:bookmarkStart w:colFirst="0" w:colLast="0" w:name="_5t8g497nyyzy" w:id="1"/>
      <w:bookmarkEnd w:id="1"/>
      <w:r w:rsidDel="00000000" w:rsidR="00000000" w:rsidRPr="00000000">
        <w:rPr>
          <w:rtl w:val="0"/>
        </w:rPr>
        <w:t xml:space="preserve">Pathway Editor</w:t>
      </w:r>
    </w:p>
    <w:p w:rsidR="00000000" w:rsidDel="00000000" w:rsidP="00000000" w:rsidRDefault="00000000" w:rsidRPr="00000000" w14:paraId="0000000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activity unit for a</w:t>
      </w:r>
      <w:r w:rsidDel="00000000" w:rsidR="00000000" w:rsidRPr="00000000">
        <w:rPr>
          <w:u w:val="single"/>
          <w:rtl w:val="0"/>
        </w:rPr>
        <w:t xml:space="preserve"> transmembrane transporter</w:t>
      </w:r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enables</w:t>
      </w:r>
      <w:r w:rsidDel="00000000" w:rsidR="00000000" w:rsidRPr="00000000">
        <w:rPr>
          <w:rtl w:val="0"/>
        </w:rPr>
        <w:t xml:space="preserve">' a child of  transmembrane transporter activity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GO:0022857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movement of the small molecule substrate is represented by: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small molecule (ChEBI) + ‘</w:t>
      </w:r>
      <w:r w:rsidDel="00000000" w:rsidR="00000000" w:rsidRPr="00000000">
        <w:rPr>
          <w:u w:val="single"/>
          <w:rtl w:val="0"/>
        </w:rPr>
        <w:t xml:space="preserve">input of</w:t>
      </w:r>
      <w:r w:rsidDel="00000000" w:rsidR="00000000" w:rsidRPr="00000000">
        <w:rPr>
          <w:rtl w:val="0"/>
        </w:rPr>
        <w:t xml:space="preserve">’ </w:t>
      </w:r>
      <w:r w:rsidDel="00000000" w:rsidR="00000000" w:rsidRPr="00000000">
        <w:rPr>
          <w:rtl w:val="0"/>
        </w:rPr>
        <w:t xml:space="preserve">+ the s</w:t>
      </w:r>
      <w:r w:rsidDel="00000000" w:rsidR="00000000" w:rsidRPr="00000000">
        <w:rPr>
          <w:rtl w:val="0"/>
        </w:rPr>
        <w:t xml:space="preserve">tart location of the small molecule, captured with the relation '</w:t>
      </w:r>
      <w:r w:rsidDel="00000000" w:rsidR="00000000" w:rsidRPr="00000000">
        <w:rPr>
          <w:u w:val="single"/>
          <w:rtl w:val="0"/>
        </w:rPr>
        <w:t xml:space="preserve">located in'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the transporter activity + ‘</w:t>
      </w:r>
      <w:r w:rsidDel="00000000" w:rsidR="00000000" w:rsidRPr="00000000">
        <w:rPr>
          <w:u w:val="single"/>
          <w:rtl w:val="0"/>
        </w:rPr>
        <w:t xml:space="preserve">has output</w:t>
      </w:r>
      <w:r w:rsidDel="00000000" w:rsidR="00000000" w:rsidRPr="00000000">
        <w:rPr>
          <w:rtl w:val="0"/>
        </w:rPr>
        <w:t xml:space="preserve">’ the small molecule (ChEBI) + the end location of the small molecule, captured with the relation '</w:t>
      </w:r>
      <w:r w:rsidDel="00000000" w:rsidR="00000000" w:rsidRPr="00000000">
        <w:rPr>
          <w:u w:val="single"/>
          <w:rtl w:val="0"/>
        </w:rPr>
        <w:t xml:space="preserve">located in'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 the BP in which this transporter activity participates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CC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a child of membrane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GO:0016020</w:t>
        </w:r>
      </w:hyperlink>
      <w:r w:rsidDel="00000000" w:rsidR="00000000" w:rsidRPr="00000000">
        <w:rPr>
          <w:rtl w:val="0"/>
        </w:rPr>
        <w:t xml:space="preserve">), e. g.: lysosomal membrane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GO:0005765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SLC17A9 transports ATP to the lysosomal lumen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-180" w:firstLine="0"/>
        <w:rPr/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76" w:lineRule="auto"/>
        <w:rPr/>
      </w:pPr>
      <w:bookmarkStart w:colFirst="0" w:colLast="0" w:name="_f2a9g32b8fh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276" w:lineRule="auto"/>
        <w:rPr/>
      </w:pPr>
      <w:bookmarkStart w:colFirst="0" w:colLast="0" w:name="_1ajdfadvv9tb" w:id="3"/>
      <w:bookmarkEnd w:id="3"/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 Editor</w:t>
      </w:r>
    </w:p>
    <w:p w:rsidR="00000000" w:rsidDel="00000000" w:rsidP="00000000" w:rsidRDefault="00000000" w:rsidRPr="00000000" w14:paraId="000000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The activity unit for a </w:t>
      </w:r>
      <w:r w:rsidDel="00000000" w:rsidR="00000000" w:rsidRPr="00000000">
        <w:rPr>
          <w:u w:val="single"/>
          <w:rtl w:val="0"/>
        </w:rPr>
        <w:t xml:space="preserve">transmembrane transporter</w:t>
      </w:r>
      <w:r w:rsidDel="00000000" w:rsidR="00000000" w:rsidRPr="00000000">
        <w:rPr>
          <w:rtl w:val="0"/>
        </w:rPr>
        <w:t xml:space="preserve">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a child of  transmembrane transporter activity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GO:0022857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Context: </w:t>
      </w:r>
      <w:r w:rsidDel="00000000" w:rsidR="00000000" w:rsidRPr="00000000">
        <w:rPr>
          <w:rtl w:val="0"/>
        </w:rPr>
        <w:t xml:space="preserve">The movement of the small molecule substrate is represented by: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'has input</w:t>
      </w:r>
      <w:r w:rsidDel="00000000" w:rsidR="00000000" w:rsidRPr="00000000">
        <w:rPr>
          <w:rtl w:val="0"/>
        </w:rPr>
        <w:t xml:space="preserve">’ the small molecule (ChEBI)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 the BP </w:t>
      </w:r>
      <w:r w:rsidDel="00000000" w:rsidR="00000000" w:rsidRPr="00000000">
        <w:rPr>
          <w:rtl w:val="0"/>
        </w:rPr>
        <w:t xml:space="preserve">in which this transporter activity participates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CC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a child of membrane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GO:0016020</w:t>
        </w:r>
      </w:hyperlink>
      <w:r w:rsidDel="00000000" w:rsidR="00000000" w:rsidRPr="00000000">
        <w:rPr>
          <w:rtl w:val="0"/>
        </w:rPr>
        <w:t xml:space="preserve">), e. g.: lysosomal membrane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GO:0005765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SLC17A9 transports ATP to the lysosomal lumen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276" w:lineRule="auto"/>
        <w:rPr/>
      </w:pPr>
      <w:bookmarkStart w:colFirst="0" w:colLast="0" w:name="_8x10te92i4uq" w:id="4"/>
      <w:bookmarkEnd w:id="4"/>
      <w:r w:rsidDel="00000000" w:rsidR="00000000" w:rsidRPr="00000000">
        <w:rPr>
          <w:rtl w:val="0"/>
        </w:rPr>
        <w:t xml:space="preserve">Differences between GO-CAM and standard annotation of a transmembrane transporter activity</w:t>
      </w:r>
    </w:p>
    <w:p w:rsidR="00000000" w:rsidDel="00000000" w:rsidP="00000000" w:rsidRDefault="00000000" w:rsidRPr="00000000" w14:paraId="0000002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In standard annotation (captured with the Noctua Form or Protein2GO), the localization of the molecule is not captured; neither is the output of the transporter, since that output relates to the localization of the molecule transported.</w:t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="276" w:lineRule="auto"/>
        <w:rPr/>
      </w:pPr>
      <w:bookmarkStart w:colFirst="0" w:colLast="0" w:name="_uy53gzyjxu7v" w:id="5"/>
      <w:bookmarkEnd w:id="5"/>
      <w:r w:rsidDel="00000000" w:rsidR="00000000" w:rsidRPr="00000000">
        <w:rPr>
          <w:rtl w:val="0"/>
        </w:rPr>
        <w:t xml:space="preserve">Review information</w:t>
      </w:r>
    </w:p>
    <w:p w:rsidR="00000000" w:rsidDel="00000000" w:rsidP="00000000" w:rsidRDefault="00000000" w:rsidRPr="00000000" w14:paraId="0000002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Review date: 2023-07-20</w:t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Reviewed by:Cristina Casals, Pascale Gaudet, Patrick Masson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bi.ac.uk/QuickGO/term/GO:0022857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ebi.ac.uk/QuickGO/term/GO:0005765" TargetMode="External"/><Relationship Id="rId12" Type="http://schemas.openxmlformats.org/officeDocument/2006/relationships/hyperlink" Target="https://www.ebi.ac.uk/QuickGO/term/GO:00160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octua.geneontology.org/workbench/noctua-visual-pathway-editor/?model_id=gomodel%3A63f809ec00001779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noctua.geneontology.org/workbench/noctua-visual-pathway-editor/?model_id=gomodel%3A63f809ec000017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QuickGO/term/GO:0022857" TargetMode="External"/><Relationship Id="rId7" Type="http://schemas.openxmlformats.org/officeDocument/2006/relationships/hyperlink" Target="https://www.ebi.ac.uk/QuickGO/term/GO:0016020" TargetMode="External"/><Relationship Id="rId8" Type="http://schemas.openxmlformats.org/officeDocument/2006/relationships/hyperlink" Target="https://www.ebi.ac.uk/QuickGO/term/GO:0005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