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2A44"/>
          <w:sz w:val="52"/>
          <w:szCs w:val="52"/>
        </w:rPr>
        <w:t xml:space="preserve">INFORME DE VIABILIDAD</w:t>
      </w:r>
    </w:p>
    <w:p>
      <w:pPr>
        <w:spacing w:after="400" w:before="200"/>
        <w:jc w:val="center"/>
      </w:pPr>
      <w:r>
        <w:rPr>
          <w:rFonts w:ascii="Calibri" w:cs="Calibri" w:eastAsia="Calibri" w:hAnsi="Calibri"/>
          <w:b/>
          <w:bCs/>
          <w:color w:val="333333"/>
          <w:sz w:val="34"/>
          <w:szCs w:val="34"/>
        </w:rPr>
        <w:t xml:space="preserve">Plataforma de Venta de Boletos (Ticketera)</w:t>
      </w:r>
    </w:p>
    <w:p>
      <w:pPr>
        <w:spacing w:after="80"/>
        <w:jc w:val="center"/>
      </w:pPr>
      <w:r>
        <w:rPr>
          <w:rFonts w:ascii="Calibri" w:cs="Calibri" w:eastAsia="Calibri" w:hAnsi="Calibri"/>
          <w:i/>
          <w:iCs/>
          <w:color w:val="666666"/>
          <w:sz w:val="22"/>
          <w:szCs w:val="22"/>
        </w:rPr>
        <w:t xml:space="preserve">Arquitectura técnica, pagos con Stripe, facturación electrónica y viabilidad con Supabase + Vercel</w:t>
      </w:r>
    </w:p>
    <w:p>
      <w:pPr>
        <w:spacing w:before="800"/>
        <w:jc w:val="center"/>
      </w:pPr>
      <w:r>
        <w:rPr>
          <w:rFonts w:ascii="Calibri" w:cs="Calibri" w:eastAsia="Calibri" w:hAnsi="Calibri"/>
          <w:color w:val="666666"/>
          <w:sz w:val="20"/>
          <w:szCs w:val="20"/>
        </w:rPr>
        <w:t xml:space="preserve">Referencias analizadas: Ticketmaster México · TuBoleta · La Tiquetera</w:t>
      </w:r>
    </w:p>
    <w:p>
      <w:pPr>
        <w:spacing w:before="100"/>
        <w:jc w:val="center"/>
      </w:pPr>
      <w:r>
        <w:rPr>
          <w:rFonts w:ascii="Calibri" w:cs="Calibri" w:eastAsia="Calibri" w:hAnsi="Calibri"/>
          <w:color w:val="666666"/>
          <w:sz w:val="20"/>
          <w:szCs w:val="20"/>
        </w:rPr>
        <w:t xml:space="preserve">Preparado para Juan Manuel Mondragón Martínez</w:t>
      </w:r>
    </w:p>
    <w:p>
      <w:pPr>
        <w:spacing w:before="60"/>
        <w:jc w:val="center"/>
      </w:pPr>
      <w:r>
        <w:rPr>
          <w:rFonts w:ascii="Calibri" w:cs="Calibri" w:eastAsia="Calibri" w:hAnsi="Calibri"/>
          <w:color w:val="666666"/>
          <w:sz w:val="20"/>
          <w:szCs w:val="20"/>
        </w:rPr>
        <w:t xml:space="preserve">31 de agosto de 2026</w:t>
      </w:r>
    </w:p>
    <w:p>
      <w:r>
        <w:br w:type="page"/>
      </w:r>
    </w:p>
    <w:p>
      <w:pPr>
        <w:pStyle w:val="Heading1"/>
        <w:pBdr>
          <w:bottom w:val="single" w:color="1F2A44" w:sz="6" w:space="4"/>
        </w:pBdr>
        <w:spacing w:after="240" w:before="480"/>
      </w:pPr>
      <w:r>
        <w:rPr>
          <w:rFonts w:ascii="Calibri" w:cs="Calibri" w:eastAsia="Calibri" w:hAnsi="Calibri"/>
          <w:b/>
          <w:bCs/>
          <w:color w:val="1F2A44"/>
          <w:sz w:val="30"/>
          <w:szCs w:val="30"/>
        </w:rPr>
        <w:t xml:space="preserve">Resumen ejecutivo</w:t>
      </w:r>
    </w:p>
    <w:p>
      <w:pPr>
        <w:spacing w:after="160" w:line="300"/>
      </w:pPr>
      <w:r>
        <w:rPr>
          <w:rFonts w:ascii="Calibri" w:cs="Calibri" w:eastAsia="Calibri" w:hAnsi="Calibri"/>
          <w:b/>
          <w:bCs/>
          <w:sz w:val="21"/>
          <w:szCs w:val="21"/>
        </w:rPr>
        <w:t xml:space="preserve">Veredicto: </w:t>
      </w:r>
      <w:r>
        <w:rPr>
          <w:rFonts w:ascii="Calibri" w:cs="Calibri" w:eastAsia="Calibri" w:hAnsi="Calibri"/>
          <w:sz w:val="21"/>
          <w:szCs w:val="21"/>
        </w:rPr>
        <w:t xml:space="preserve">Es viable. </w:t>
      </w:r>
      <w:r>
        <w:rPr>
          <w:rFonts w:ascii="Calibri" w:cs="Calibri" w:eastAsia="Calibri" w:hAnsi="Calibri"/>
          <w:sz w:val="21"/>
          <w:szCs w:val="21"/>
        </w:rPr>
        <w:t xml:space="preserve">Se puede construir una ticketera segura, transaccional y con API pública usando Next.js + Supabase + Vercel como base técnica. El punto que exige una decisión de negocio antes de escribir una sola línea de código es la operación de pagos: </w:t>
      </w:r>
      <w:r>
        <w:rPr>
          <w:rFonts w:ascii="Calibri" w:cs="Calibri" w:eastAsia="Calibri" w:hAnsi="Calibri"/>
          <w:b/>
          <w:bCs/>
          <w:sz w:val="21"/>
          <w:szCs w:val="21"/>
        </w:rPr>
        <w:t xml:space="preserve">Stripe no está disponible para empresas constituidas en Colombia</w:t>
      </w:r>
      <w:r>
        <w:rPr>
          <w:rFonts w:ascii="Calibri" w:cs="Calibri" w:eastAsia="Calibri" w:hAnsi="Calibri"/>
          <w:sz w:val="21"/>
          <w:szCs w:val="21"/>
        </w:rPr>
        <w:t xml:space="preserve">, y sí lo está para México. Con la decisión que tomaste de constituir una entidad en EE. UU., el camino queda despejado, pero cambia la arquitectura de pagos frente a un esquema "todo Stripe Connect".</w:t>
      </w:r>
    </w:p>
    <w:p>
      <w:pPr>
        <w:spacing w:after="160" w:line="300"/>
      </w:pPr>
      <w:r>
        <w:rPr>
          <w:rFonts w:ascii="Calibri" w:cs="Calibri" w:eastAsia="Calibri" w:hAnsi="Calibri"/>
          <w:b/>
          <w:bCs/>
          <w:sz w:val="21"/>
          <w:szCs w:val="21"/>
        </w:rPr>
        <w:t xml:space="preserve">Alcance confirmado para este informe: </w:t>
      </w:r>
      <w:r>
        <w:rPr>
          <w:rFonts w:ascii="Calibri" w:cs="Calibri" w:eastAsia="Calibri" w:hAnsi="Calibri"/>
          <w:sz w:val="21"/>
          <w:szCs w:val="21"/>
        </w:rPr>
        <w:t xml:space="preserve">lanzamiento multi-país desde el inicio (Colombia y México, con arquitectura pensada para sumar más países de LatAm), soporte tanto para entrada general como para mapas de asientos numerados, y pagos vía Stripe con una entidad en EE. UU.</w:t>
      </w:r>
    </w:p>
    <w:p>
      <w:pPr>
        <w:pStyle w:val="Heading3"/>
        <w:spacing w:after="120" w:before="220"/>
      </w:pPr>
      <w:r>
        <w:rPr>
          <w:rFonts w:ascii="Calibri" w:cs="Calibri" w:eastAsia="Calibri" w:hAnsi="Calibri"/>
          <w:b/>
          <w:bCs/>
          <w:color w:val="333333"/>
          <w:sz w:val="21"/>
          <w:szCs w:val="21"/>
        </w:rPr>
        <w:t xml:space="preserve">Los 5 hallazgos que más cambian el diseño</w:t>
      </w:r>
    </w:p>
    <w:p>
      <w:pPr>
        <w:pStyle w:val="ListParagraph"/>
        <w:numPr>
          <w:ilvl w:val="0"/>
          <w:numId w:val="2"/>
        </w:numPr>
        <w:spacing w:after="100" w:line="280"/>
      </w:pPr>
      <w:r>
        <w:rPr>
          <w:rFonts w:ascii="Calibri" w:cs="Calibri" w:eastAsia="Calibri" w:hAnsi="Calibri"/>
          <w:b/>
          <w:bCs/>
          <w:sz w:val="21"/>
          <w:szCs w:val="21"/>
        </w:rPr>
        <w:t xml:space="preserve">1. Stripe + Colombia. </w:t>
      </w:r>
      <w:r>
        <w:rPr>
          <w:rFonts w:ascii="Calibri" w:cs="Calibri" w:eastAsia="Calibri" w:hAnsi="Calibri"/>
          <w:sz w:val="21"/>
          <w:szCs w:val="21"/>
        </w:rPr>
        <w:t xml:space="preserve">Stripe no opera con entidades colombianas. La solución es una entidad en EE. UU. (LLC o C-Corp) que sea el merchant of record para Stripe. Las tarjetas colombianas sí funcionan como pago internacional, pero PSE (transferencia bancaria, el método más usado en Colombia) no está disponible vía Stripe.</w:t>
      </w:r>
    </w:p>
    <w:p>
      <w:pPr>
        <w:pStyle w:val="ListParagraph"/>
        <w:numPr>
          <w:ilvl w:val="0"/>
          <w:numId w:val="2"/>
        </w:numPr>
        <w:spacing w:after="100" w:line="280"/>
      </w:pPr>
      <w:r>
        <w:rPr>
          <w:rFonts w:ascii="Calibri" w:cs="Calibri" w:eastAsia="Calibri" w:hAnsi="Calibri"/>
          <w:b/>
          <w:bCs/>
          <w:sz w:val="21"/>
          <w:szCs w:val="21"/>
        </w:rPr>
        <w:t xml:space="preserve">2. Stripe Connect no sirve para pagar organizadores colombianos. </w:t>
      </w:r>
      <w:r>
        <w:rPr>
          <w:rFonts w:ascii="Calibri" w:cs="Calibri" w:eastAsia="Calibri" w:hAnsi="Calibri"/>
          <w:sz w:val="21"/>
          <w:szCs w:val="21"/>
        </w:rPr>
        <w:t xml:space="preserve">Las cuentas conectadas de Connect deben estar en un país soportado por Stripe. Un organizador con NIT/cuenta bancaria en Colombia no puede recibir payouts automáticos de Connect. Se necesita un segundo riel de pagos (ej. Wompi "Pagos a Terceros") para dispersar el dinero a organizadores colombianos.</w:t>
      </w:r>
    </w:p>
    <w:p>
      <w:pPr>
        <w:pStyle w:val="ListParagraph"/>
        <w:numPr>
          <w:ilvl w:val="0"/>
          <w:numId w:val="2"/>
        </w:numPr>
        <w:spacing w:after="100" w:line="280"/>
      </w:pPr>
      <w:r>
        <w:rPr>
          <w:rFonts w:ascii="Calibri" w:cs="Calibri" w:eastAsia="Calibri" w:hAnsi="Calibri"/>
          <w:b/>
          <w:bCs/>
          <w:sz w:val="21"/>
          <w:szCs w:val="21"/>
        </w:rPr>
        <w:t xml:space="preserve">3. La factura DIAN no la emite Stripe ni Supabase. </w:t>
      </w:r>
      <w:r>
        <w:rPr>
          <w:rFonts w:ascii="Calibri" w:cs="Calibri" w:eastAsia="Calibri" w:hAnsi="Calibri"/>
          <w:sz w:val="21"/>
          <w:szCs w:val="21"/>
        </w:rPr>
        <w:t xml:space="preserve">Se necesita integrar una API de facturación electrónica homologada por la DIAN (ej. Factus, Alegra) y, para México, un PAC de CFDI 4.0 (ej. gigstack). Esto es un módulo aparte, con su propia lógica legal por país.</w:t>
      </w:r>
    </w:p>
    <w:p>
      <w:pPr>
        <w:pStyle w:val="ListParagraph"/>
        <w:numPr>
          <w:ilvl w:val="0"/>
          <w:numId w:val="2"/>
        </w:numPr>
        <w:spacing w:after="100" w:line="280"/>
      </w:pPr>
      <w:r>
        <w:rPr>
          <w:rFonts w:ascii="Calibri" w:cs="Calibri" w:eastAsia="Calibri" w:hAnsi="Calibri"/>
          <w:b/>
          <w:bCs/>
          <w:sz w:val="21"/>
          <w:szCs w:val="21"/>
        </w:rPr>
        <w:t xml:space="preserve">4. Los asientos numerados son el módulo más caro de construir. </w:t>
      </w:r>
      <w:r>
        <w:rPr>
          <w:rFonts w:ascii="Calibri" w:cs="Calibri" w:eastAsia="Calibri" w:hAnsi="Calibri"/>
          <w:sz w:val="21"/>
          <w:szCs w:val="21"/>
        </w:rPr>
        <w:t xml:space="preserve">Construir desde cero un sistema de "hold" de asientos en tiempo real sin sobreventa es un proyecto en sí mismo. La recomendación es evaluar un servicio especializado (seats.io) en vez de construirlo 100% a la medida en la v1.</w:t>
      </w:r>
    </w:p>
    <w:p>
      <w:pPr>
        <w:pStyle w:val="ListParagraph"/>
        <w:numPr>
          <w:ilvl w:val="0"/>
          <w:numId w:val="2"/>
        </w:numPr>
        <w:spacing w:after="100" w:line="280"/>
      </w:pPr>
      <w:r>
        <w:rPr>
          <w:rFonts w:ascii="Calibri" w:cs="Calibri" w:eastAsia="Calibri" w:hAnsi="Calibri"/>
          <w:b/>
          <w:bCs/>
          <w:sz w:val="21"/>
          <w:szCs w:val="21"/>
        </w:rPr>
        <w:t xml:space="preserve">5. Supabase y Vercel sí aguantan el modelo, con patrones específicos. </w:t>
      </w:r>
      <w:r>
        <w:rPr>
          <w:rFonts w:ascii="Calibri" w:cs="Calibri" w:eastAsia="Calibri" w:hAnsi="Calibri"/>
          <w:sz w:val="21"/>
          <w:szCs w:val="21"/>
        </w:rPr>
        <w:t xml:space="preserve">Ambos son viables técnicamente, pero "on-sale" masivo (venta de un concierto agotado en minutos) exige decisiones de diseño puntuales: no usar Postgres Changes en vivo para el inventario de asientos, usar colas/locks a nivel de base de datos, y sacar el procesamiento de pagos y facturación de las funciones serverless con timeout corto hacia jobs en segundo plano.</w:t>
      </w:r>
    </w:p>
    <w:p>
      <w:r>
        <w:br w:type="page"/>
      </w:r>
    </w:p>
    <w:p>
      <w:pPr>
        <w:pStyle w:val="Heading1"/>
        <w:pBdr>
          <w:bottom w:val="single" w:color="1F2A44" w:sz="6" w:space="4"/>
        </w:pBdr>
        <w:spacing w:after="240" w:before="480"/>
      </w:pPr>
      <w:r>
        <w:rPr>
          <w:rFonts w:ascii="Calibri" w:cs="Calibri" w:eastAsia="Calibri" w:hAnsi="Calibri"/>
          <w:b/>
          <w:bCs/>
          <w:color w:val="1F2A44"/>
          <w:sz w:val="30"/>
          <w:szCs w:val="30"/>
        </w:rPr>
        <w:t xml:space="preserve">1. Alcance y supuestos del proyecto</w:t>
      </w:r>
    </w:p>
    <w:p>
      <w:pPr>
        <w:spacing w:after="160" w:line="300"/>
      </w:pPr>
      <w:r>
        <w:rPr>
          <w:rFonts w:ascii="Calibri" w:cs="Calibri" w:eastAsia="Calibri" w:hAnsi="Calibri"/>
          <w:sz w:val="21"/>
          <w:szCs w:val="21"/>
        </w:rPr>
        <w:t xml:space="preserve">Este informe parte de las decisiones que confirmaste para poder dar una recomendación concreta en vez de genérica:</w:t>
      </w:r>
    </w:p>
    <w:p>
      <w:pPr>
        <w:pStyle w:val="ListParagraph"/>
        <w:numPr>
          <w:ilvl w:val="0"/>
          <w:numId w:val="2"/>
        </w:numPr>
        <w:spacing w:after="100" w:line="280"/>
      </w:pPr>
      <w:r>
        <w:rPr>
          <w:rFonts w:ascii="Calibri" w:cs="Calibri" w:eastAsia="Calibri" w:hAnsi="Calibri"/>
          <w:b/>
          <w:bCs/>
          <w:sz w:val="21"/>
          <w:szCs w:val="21"/>
        </w:rPr>
        <w:t xml:space="preserve">Mercado: </w:t>
      </w:r>
      <w:r>
        <w:rPr>
          <w:rFonts w:ascii="Calibri" w:cs="Calibri" w:eastAsia="Calibri" w:hAnsi="Calibri"/>
          <w:sz w:val="21"/>
          <w:szCs w:val="21"/>
        </w:rPr>
        <w:t xml:space="preserve">multi-país desde el inicio — Colombia y México en paralelo, con arquitectura preparada para sumar más países de LatAm después.</w:t>
      </w:r>
    </w:p>
    <w:p>
      <w:pPr>
        <w:pStyle w:val="ListParagraph"/>
        <w:numPr>
          <w:ilvl w:val="0"/>
          <w:numId w:val="2"/>
        </w:numPr>
        <w:spacing w:after="100" w:line="280"/>
      </w:pPr>
      <w:r>
        <w:rPr>
          <w:rFonts w:ascii="Calibri" w:cs="Calibri" w:eastAsia="Calibri" w:hAnsi="Calibri"/>
          <w:b/>
          <w:bCs/>
          <w:sz w:val="21"/>
          <w:szCs w:val="21"/>
        </w:rPr>
        <w:t xml:space="preserve">Pagos: </w:t>
      </w:r>
      <w:r>
        <w:rPr>
          <w:rFonts w:ascii="Calibri" w:cs="Calibri" w:eastAsia="Calibri" w:hAnsi="Calibri"/>
          <w:sz w:val="21"/>
          <w:szCs w:val="21"/>
        </w:rPr>
        <w:t xml:space="preserve">Stripe como pasarela, operando a través de una entidad constituida en EE. UU. (LLC o C-Corp), en lugar de una entidad colombiana.</w:t>
      </w:r>
    </w:p>
    <w:p>
      <w:pPr>
        <w:pStyle w:val="ListParagraph"/>
        <w:numPr>
          <w:ilvl w:val="0"/>
          <w:numId w:val="2"/>
        </w:numPr>
        <w:spacing w:after="100" w:line="280"/>
      </w:pPr>
      <w:r>
        <w:rPr>
          <w:rFonts w:ascii="Calibri" w:cs="Calibri" w:eastAsia="Calibri" w:hAnsi="Calibri"/>
          <w:b/>
          <w:bCs/>
          <w:sz w:val="21"/>
          <w:szCs w:val="21"/>
        </w:rPr>
        <w:t xml:space="preserve">Tipos de evento: </w:t>
      </w:r>
      <w:r>
        <w:rPr>
          <w:rFonts w:ascii="Calibri" w:cs="Calibri" w:eastAsia="Calibri" w:hAnsi="Calibri"/>
          <w:sz w:val="21"/>
          <w:szCs w:val="21"/>
        </w:rPr>
        <w:t xml:space="preserve">tanto entrada general (sin asiento) como mapas de asientos numerados (teatro/estadio), igual que Ticketmaster o TuBoleta.</w:t>
      </w:r>
    </w:p>
    <w:p>
      <w:pPr>
        <w:pStyle w:val="ListParagraph"/>
        <w:numPr>
          <w:ilvl w:val="0"/>
          <w:numId w:val="2"/>
        </w:numPr>
        <w:spacing w:after="100" w:line="280"/>
      </w:pPr>
      <w:r>
        <w:rPr>
          <w:rFonts w:ascii="Calibri" w:cs="Calibri" w:eastAsia="Calibri" w:hAnsi="Calibri"/>
          <w:b/>
          <w:bCs/>
          <w:sz w:val="21"/>
          <w:szCs w:val="21"/>
        </w:rPr>
        <w:t xml:space="preserve">Entregable de esta fase: </w:t>
      </w:r>
      <w:r>
        <w:rPr>
          <w:rFonts w:ascii="Calibri" w:cs="Calibri" w:eastAsia="Calibri" w:hAnsi="Calibri"/>
          <w:sz w:val="21"/>
          <w:szCs w:val="21"/>
        </w:rPr>
        <w:t xml:space="preserve">informe de viabilidad y arquitectura recomendada — sin construir código todavía.</w:t>
      </w:r>
    </w:p>
    <w:p>
      <w:pPr>
        <w:spacing w:after="160" w:line="300"/>
      </w:pPr>
      <w:r>
        <w:rPr>
          <w:rFonts w:ascii="Calibri" w:cs="Calibri" w:eastAsia="Calibri" w:hAnsi="Calibri"/>
          <w:sz w:val="21"/>
          <w:szCs w:val="21"/>
        </w:rPr>
        <w:t xml:space="preserve">Nota de alcance: </w:t>
      </w:r>
      <w:r>
        <w:rPr>
          <w:rFonts w:ascii="Calibri" w:cs="Calibri" w:eastAsia="Calibri" w:hAnsi="Calibri"/>
          <w:i/>
          <w:iCs/>
          <w:color w:val="666666"/>
          <w:sz w:val="19"/>
          <w:szCs w:val="19"/>
        </w:rPr>
        <w:t xml:space="preserve">no soy abogado ni contador. Todo lo relacionado con constitución de sociedades, régimen tributario, IVA/retenciones y facturación electrónica en este informe es una guía técnica de arquitectura, no asesoría legal o fiscal. Antes de operar, valida la estructura societaria y fiscal con un abogado corporativo (EE. UU.) y un contador/abogado tributarista en cada país (Colombia, México).</w:t>
      </w:r>
    </w:p>
    <w:p>
      <w:r>
        <w:br w:type="page"/>
      </w:r>
    </w:p>
    <w:p>
      <w:pPr>
        <w:pStyle w:val="Heading1"/>
        <w:pBdr>
          <w:bottom w:val="single" w:color="1F2A44" w:sz="6" w:space="4"/>
        </w:pBdr>
        <w:spacing w:after="240" w:before="480"/>
      </w:pPr>
      <w:r>
        <w:rPr>
          <w:rFonts w:ascii="Calibri" w:cs="Calibri" w:eastAsia="Calibri" w:hAnsi="Calibri"/>
          <w:b/>
          <w:bCs/>
          <w:color w:val="1F2A44"/>
          <w:sz w:val="30"/>
          <w:szCs w:val="30"/>
        </w:rPr>
        <w:t xml:space="preserve">2. Hallazgo crítico: Stripe, Colombia y México</w:t>
      </w:r>
    </w:p>
    <w:p>
      <w:pPr>
        <w:pStyle w:val="Heading2"/>
        <w:spacing w:after="160" w:before="320"/>
      </w:pPr>
      <w:r>
        <w:rPr>
          <w:rFonts w:ascii="Calibri" w:cs="Calibri" w:eastAsia="Calibri" w:hAnsi="Calibri"/>
          <w:b/>
          <w:bCs/>
          <w:color w:val="1F2A44"/>
          <w:sz w:val="24"/>
          <w:szCs w:val="24"/>
        </w:rPr>
        <w:t xml:space="preserve">2.1 Qué encontré</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300"/>
      </w:tblGrid>
      <w:tr>
        <w:trPr>
          <w:tblHeader/>
        </w:trPr>
        <w:tc>
          <w:tcPr>
            <w:tcW w:type="dxa" w:w="28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
            </w:r>
          </w:p>
        </w:tc>
        <w:tc>
          <w:tcPr>
            <w:tcW w:type="dxa" w:w="33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Colombia</w:t>
            </w:r>
          </w:p>
        </w:tc>
        <w:tc>
          <w:tcPr>
            <w:tcW w:type="dxa" w:w="33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México</w:t>
            </w:r>
          </w:p>
        </w:tc>
      </w:tr>
      <w:tr>
        <w:tc>
          <w:tcPr>
            <w:tcW w:type="dxa" w:w="28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¿Stripe acepta empresas locales?</w:t>
            </w:r>
          </w:p>
        </w:tc>
        <w:tc>
          <w:tcPr>
            <w:tcW w:type="dxa" w:w="33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No. Colombia no está en la lista de países soportados por Stripe para constituir una cuenta.</w:t>
            </w:r>
          </w:p>
        </w:tc>
        <w:tc>
          <w:tcPr>
            <w:tcW w:type="dxa" w:w="33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Sí. México está soportado directamente (registro con country=MX).</w:t>
            </w:r>
          </w:p>
        </w:tc>
      </w:tr>
      <w:tr>
        <w:tc>
          <w:tcPr>
            <w:tcW w:type="dxa" w:w="28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¿Se pueden cobrar tarjetas locales?</w:t>
            </w:r>
          </w:p>
        </w:tc>
        <w:tc>
          <w:tcPr>
            <w:tcW w:type="dxa" w:w="33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Sí, como tarjeta internacional, si el merchant of record es una entidad en país soportado (ej. EE. UU.).</w:t>
            </w:r>
          </w:p>
        </w:tc>
        <w:tc>
          <w:tcPr>
            <w:tcW w:type="dxa" w:w="33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Sí, de forma nativa.</w:t>
            </w:r>
          </w:p>
        </w:tc>
      </w:tr>
      <w:tr>
        <w:tc>
          <w:tcPr>
            <w:tcW w:type="dxa" w:w="28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¿PSE / transferencia bancaria?</w:t>
            </w:r>
          </w:p>
        </w:tc>
        <w:tc>
          <w:tcPr>
            <w:tcW w:type="dxa" w:w="33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No vía Stripe. Es el método de pago más usado en e-commerce colombiano y quedaría fuera si solo usas Stripe.</w:t>
            </w:r>
          </w:p>
        </w:tc>
        <w:tc>
          <w:tcPr>
            <w:tcW w:type="dxa" w:w="33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No aplica igual (México usa más tarjeta, OXXO, SPEI).</w:t>
            </w:r>
          </w:p>
        </w:tc>
      </w:tr>
      <w:tr>
        <w:tc>
          <w:tcPr>
            <w:tcW w:type="dxa" w:w="28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¿Organizador puede recibir payout vía Stripe Connect?</w:t>
            </w:r>
          </w:p>
        </w:tc>
        <w:tc>
          <w:tcPr>
            <w:tcW w:type="dxa" w:w="33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No directamente. Las cuentas conectadas de Connect deben estar en un país soportado por Stripe.</w:t>
            </w:r>
          </w:p>
        </w:tc>
        <w:tc>
          <w:tcPr>
            <w:tcW w:type="dxa" w:w="33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Sí. Un organizador con entidad/cuenta mexicana puede ser cuenta conectada de Connect.</w:t>
            </w:r>
          </w:p>
        </w:tc>
      </w:tr>
    </w:tbl>
    <w:p>
      <w:pPr>
        <w:spacing w:after="160" w:line="300"/>
      </w:pPr>
      <w:r>
        <w:rPr>
          <w:rFonts w:ascii="Calibri" w:cs="Calibri" w:eastAsia="Calibri" w:hAnsi="Calibri"/>
          <w:color w:val="666666"/>
          <w:sz w:val="21"/>
          <w:szCs w:val="21"/>
        </w:rPr>
        <w:t xml:space="preserve">Fuentes: Stripe – países soportados (stripe.com/global); Stripe Connect – pagos a cuentas conectadas (docs.stripe.com/connect/payouts-connected-accounts); BTO Digital, "Stripe en Colombia 2026" (btodigital.com).</w:t>
      </w:r>
    </w:p>
    <w:p>
      <w:pPr>
        <w:pStyle w:val="Heading2"/>
        <w:spacing w:after="160" w:before="320"/>
      </w:pPr>
      <w:r>
        <w:rPr>
          <w:rFonts w:ascii="Calibri" w:cs="Calibri" w:eastAsia="Calibri" w:hAnsi="Calibri"/>
          <w:b/>
          <w:bCs/>
          <w:color w:val="1F2A44"/>
          <w:sz w:val="24"/>
          <w:szCs w:val="24"/>
        </w:rPr>
        <w:t xml:space="preserve">2.2 Qué implica la decisión que tomaste (entidad en EE. UU.)</w:t>
      </w:r>
    </w:p>
    <w:p>
      <w:pPr>
        <w:spacing w:after="160" w:line="300"/>
      </w:pPr>
      <w:r>
        <w:rPr>
          <w:rFonts w:ascii="Calibri" w:cs="Calibri" w:eastAsia="Calibri" w:hAnsi="Calibri"/>
          <w:sz w:val="21"/>
          <w:szCs w:val="21"/>
        </w:rPr>
        <w:t xml:space="preserve">Constituir una LLC o C-Corp en EE. UU. (por ejemplo en Delaware, vía Stripe Atlas o un formador equivalente) resuelve el problema de raíz para el lado de cobro: la plataforma cobra como empresa estadounidense, con tarifas estándar de Stripe (2.9% + $0.30 USD por transacción exitosa con tarjeta) y acceso a Radar (antifraude), Stripe Tax, Stripe Checkout/Elements, disputas, etc.</w:t>
      </w:r>
    </w:p>
    <w:p>
      <w:pPr>
        <w:spacing w:after="160" w:line="300"/>
      </w:pPr>
      <w:r>
        <w:rPr>
          <w:rFonts w:ascii="Calibri" w:cs="Calibri" w:eastAsia="Calibri" w:hAnsi="Calibri"/>
          <w:sz w:val="21"/>
          <w:szCs w:val="21"/>
        </w:rPr>
        <w:t xml:space="preserve">Dos cosas quedan pendientes de resolver con esa sola decisión, y ambas son de arquitectura, no de Stripe:</w:t>
      </w:r>
    </w:p>
    <w:p>
      <w:pPr>
        <w:pStyle w:val="ListParagraph"/>
        <w:numPr>
          <w:ilvl w:val="0"/>
          <w:numId w:val="2"/>
        </w:numPr>
        <w:spacing w:after="100" w:line="280"/>
      </w:pPr>
      <w:r>
        <w:rPr>
          <w:rFonts w:ascii="Calibri" w:cs="Calibri" w:eastAsia="Calibri" w:hAnsi="Calibri"/>
          <w:b/>
          <w:bCs/>
          <w:sz w:val="21"/>
          <w:szCs w:val="21"/>
        </w:rPr>
        <w:t xml:space="preserve">Métodos de pago locales en Colombia (PSE). </w:t>
      </w:r>
      <w:r>
        <w:rPr>
          <w:rFonts w:ascii="Calibri" w:cs="Calibri" w:eastAsia="Calibri" w:hAnsi="Calibri"/>
          <w:sz w:val="21"/>
          <w:szCs w:val="21"/>
        </w:rPr>
        <w:t xml:space="preserve">Si quieres ofrecer PSE (muy relevante para conversión en Colombia), necesitas una pasarela local en paralelo a Stripe — Wompi, PayU o ePayco. Tu agencia ya integró Wompi antes (Trendy House), lo que reduce la curva de aprendizaje.</w:t>
      </w:r>
    </w:p>
    <w:p>
      <w:pPr>
        <w:pStyle w:val="ListParagraph"/>
        <w:numPr>
          <w:ilvl w:val="0"/>
          <w:numId w:val="2"/>
        </w:numPr>
        <w:spacing w:after="100" w:line="280"/>
      </w:pPr>
      <w:r>
        <w:rPr>
          <w:rFonts w:ascii="Calibri" w:cs="Calibri" w:eastAsia="Calibri" w:hAnsi="Calibri"/>
          <w:b/>
          <w:bCs/>
          <w:sz w:val="21"/>
          <w:szCs w:val="21"/>
        </w:rPr>
        <w:t xml:space="preserve">Pago a organizadores colombianos. </w:t>
      </w:r>
      <w:r>
        <w:rPr>
          <w:rFonts w:ascii="Calibri" w:cs="Calibri" w:eastAsia="Calibri" w:hAnsi="Calibri"/>
          <w:sz w:val="21"/>
          <w:szCs w:val="21"/>
        </w:rPr>
        <w:t xml:space="preserve">Ver sección 2.3 — no se resuelve con Stripe Connect.</w:t>
      </w:r>
    </w:p>
    <w:p>
      <w:pPr>
        <w:pStyle w:val="Heading2"/>
        <w:spacing w:after="160" w:before="320"/>
      </w:pPr>
      <w:r>
        <w:rPr>
          <w:rFonts w:ascii="Calibri" w:cs="Calibri" w:eastAsia="Calibri" w:hAnsi="Calibri"/>
          <w:b/>
          <w:bCs/>
          <w:color w:val="1F2A44"/>
          <w:sz w:val="24"/>
          <w:szCs w:val="24"/>
        </w:rPr>
        <w:t xml:space="preserve">2.3 Arquitectura de pagos recomendada (modelo híbrido)</w:t>
      </w:r>
    </w:p>
    <w:p>
      <w:pPr>
        <w:spacing w:after="160" w:line="300"/>
      </w:pPr>
      <w:r>
        <w:rPr>
          <w:rFonts w:ascii="Calibri" w:cs="Calibri" w:eastAsia="Calibri" w:hAnsi="Calibri"/>
          <w:sz w:val="21"/>
          <w:szCs w:val="21"/>
        </w:rPr>
        <w:t xml:space="preserve">La recomendación no es "Stripe para todo" ni "Wompi para todo", sino usar cada uno donde sí es viable, con un libro contable interno (ledger) en tu base de datos que reconcilia ambos rieles: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Flujo</w:t>
            </w:r>
          </w:p>
        </w:tc>
        <w:tc>
          <w:tcPr>
            <w:tcW w:type="dxa" w:w="32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Riel recomendado</w:t>
            </w:r>
          </w:p>
        </w:tc>
        <w:tc>
          <w:tcPr>
            <w:tcW w:type="dxa" w:w="36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Por qué</w:t>
            </w:r>
          </w:p>
        </w:tc>
      </w:tr>
      <w:tr>
        <w:tc>
          <w:tcPr>
            <w:tcW w:type="dxa" w:w="2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Cobro al comprador final (tarjeta, cualquier país)</w:t>
            </w:r>
          </w:p>
        </w:tc>
        <w:tc>
          <w:tcPr>
            <w:tcW w:type="dxa" w:w="32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Stripe Checkout / Payment Intents (entidad EE. UU.)</w:t>
            </w:r>
          </w:p>
        </w:tc>
        <w:tc>
          <w:tcPr>
            <w:tcW w:type="dxa" w:w="3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Cobertura global, antifraude (Radar), un solo flujo de checkout para todos los países.</w:t>
            </w:r>
          </w:p>
        </w:tc>
      </w:tr>
      <w:tr>
        <w:tc>
          <w:tcPr>
            <w:tcW w:type="dxa" w:w="2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Cobro al comprador final en Colombia vía PSE</w:t>
            </w:r>
          </w:p>
        </w:tc>
        <w:tc>
          <w:tcPr>
            <w:tcW w:type="dxa" w:w="32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Wompi (o PayU/ePayco) como método adicional en el checkout</w:t>
            </w:r>
          </w:p>
        </w:tc>
        <w:tc>
          <w:tcPr>
            <w:tcW w:type="dxa" w:w="3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PSE no existe en Stripe; es el método bancario más usado en Colombia.</w:t>
            </w:r>
          </w:p>
        </w:tc>
      </w:tr>
      <w:tr>
        <w:tc>
          <w:tcPr>
            <w:tcW w:type="dxa" w:w="2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Payout a organizador con entidad en México</w:t>
            </w:r>
          </w:p>
        </w:tc>
        <w:tc>
          <w:tcPr>
            <w:tcW w:type="dxa" w:w="32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Stripe Connect (cuenta conectada, destination charges)</w:t>
            </w:r>
          </w:p>
        </w:tc>
        <w:tc>
          <w:tcPr>
            <w:tcW w:type="dxa" w:w="3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México es país soportado por Connect: automatiza el split y el payout.</w:t>
            </w:r>
          </w:p>
        </w:tc>
      </w:tr>
      <w:tr>
        <w:tc>
          <w:tcPr>
            <w:tcW w:type="dxa" w:w="2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Payout a organizador con entidad en Colombia</w:t>
            </w:r>
          </w:p>
        </w:tc>
        <w:tc>
          <w:tcPr>
            <w:tcW w:type="dxa" w:w="32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Ledger interno + Wompi "Pagos a Terceros" (dispersión a cuentas bancarias en lotes)</w:t>
            </w:r>
          </w:p>
        </w:tc>
        <w:tc>
          <w:tcPr>
            <w:tcW w:type="dxa" w:w="3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Stripe no permite cuentas conectadas colombianas; Wompi sí permite dispersión programática a bancos colombianos.</w:t>
            </w:r>
          </w:p>
        </w:tc>
      </w:tr>
      <w:tr>
        <w:tc>
          <w:tcPr>
            <w:tcW w:type="dxa" w:w="2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Payout a organizador con entidad en EE. UU. u otro país soportado por Stripe</w:t>
            </w:r>
          </w:p>
        </w:tc>
        <w:tc>
          <w:tcPr>
            <w:tcW w:type="dxa" w:w="32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Stripe Connect</w:t>
            </w:r>
          </w:p>
        </w:tc>
        <w:tc>
          <w:tcPr>
            <w:tcW w:type="dxa" w:w="3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Camino directo, menor trabajo de ingeniería.</w:t>
            </w:r>
          </w:p>
        </w:tc>
      </w:tr>
    </w:tbl>
    <w:tbl>
      <w:tblPr>
        <w:tblW w:type="pct" w:w="100%"/>
        <w:tblBorders>
          <w:top w:val="single" w:color="C0392B" w:sz="2"/>
          <w:left w:val="single" w:color="C0392B" w:sz="2"/>
          <w:bottom w:val="single" w:color="C0392B" w:sz="2"/>
          <w:right w:val="single" w:color="C0392B" w:sz="2"/>
          <w:insideH w:val="none"/>
          <w:insideV w:val="none"/>
        </w:tblBorders>
      </w:tblPr>
      <w:tblGrid>
        <w:gridCol w:w="100"/>
      </w:tblGrid>
      <w:tr>
        <w:tc>
          <w:tcPr>
            <w:shd w:fill="C0392B" w:val="clear"/>
            <w:tcMar>
              <w:top w:type="dxa" w:w="160"/>
              <w:left w:type="dxa" w:w="200"/>
              <w:bottom w:type="dxa" w:w="160"/>
              <w:right w:type="dxa" w:w="200"/>
            </w:tcMar>
          </w:tcPr>
          <w:p>
            <w:pPr>
              <w:spacing w:after="80"/>
            </w:pPr>
            <w:r>
              <w:rPr>
                <w:rFonts w:ascii="Calibri" w:cs="Calibri" w:eastAsia="Calibri" w:hAnsi="Calibri"/>
                <w:b/>
                <w:bCs/>
                <w:color w:val="FFFFFF"/>
                <w:sz w:val="22"/>
                <w:szCs w:val="22"/>
              </w:rPr>
              <w:t xml:space="preserve">Por qué esto importa para el diseño de base de datos</w:t>
            </w:r>
          </w:p>
          <w:p>
            <w:pPr>
              <w:spacing w:after="60" w:line="280"/>
            </w:pPr>
            <w:r>
              <w:rPr>
                <w:rFonts w:ascii="Calibri" w:cs="Calibri" w:eastAsia="Calibri" w:hAnsi="Calibri"/>
                <w:color w:val="FFFFFF"/>
                <w:sz w:val="20"/>
                <w:szCs w:val="20"/>
              </w:rPr>
              <w:t xml:space="preserve">El "ledger interno" no es opcional: como los fondos de Colombia no fluyen automáticamente a través de Connect, la plataforma necesita su propia tabla de saldos por organizador, un proceso de reconciliación (qué se cobró vs. qué se debe pagar, menos comisión) y un job programado que dispare la dispersión vía la API de Wompi. Esto es trabajo de ingeniería real, no una casilla de configuración.</w:t>
            </w:r>
          </w:p>
        </w:tc>
      </w:tr>
    </w:tbl>
    <w:p>
      <w:pPr>
        <w:pStyle w:val="Heading2"/>
        <w:spacing w:after="160" w:before="320"/>
      </w:pPr>
      <w:r>
        <w:rPr>
          <w:rFonts w:ascii="Calibri" w:cs="Calibri" w:eastAsia="Calibri" w:hAnsi="Calibri"/>
          <w:b/>
          <w:bCs/>
          <w:color w:val="1F2A44"/>
          <w:sz w:val="24"/>
          <w:szCs w:val="24"/>
        </w:rPr>
        <w:t xml:space="preserve">2.4 Facturación electrónica: quién factura y a quién</w:t>
      </w:r>
    </w:p>
    <w:p>
      <w:pPr>
        <w:spacing w:after="160" w:line="300"/>
      </w:pPr>
      <w:r>
        <w:rPr>
          <w:rFonts w:ascii="Calibri" w:cs="Calibri" w:eastAsia="Calibri" w:hAnsi="Calibri"/>
          <w:sz w:val="21"/>
          <w:szCs w:val="21"/>
        </w:rPr>
        <w:t xml:space="preserve">Este es el punto donde pagos y facturación se cruzan y conviene ser explícito: en una ticketera tipo marketplace, normalmente el que le vende la entrada al público es el organizador del evento (no la plataforma), y es el organizador quien —fiscalmente— debería facturar esa venta. La plataforma actúa como intermediaria tecnológica y de cobro, y cobra una comisión que sí factura ella misma. Este es el modelo que siguen la mayoría de ticketeras (incluidas las que analizamos).</w:t>
      </w:r>
    </w:p>
    <w:p>
      <w:pPr>
        <w:pStyle w:val="ListParagraph"/>
        <w:numPr>
          <w:ilvl w:val="0"/>
          <w:numId w:val="2"/>
        </w:numPr>
        <w:spacing w:after="100" w:line="280"/>
      </w:pPr>
      <w:r>
        <w:rPr>
          <w:rFonts w:ascii="Calibri" w:cs="Calibri" w:eastAsia="Calibri" w:hAnsi="Calibri"/>
          <w:b/>
          <w:bCs/>
          <w:sz w:val="21"/>
          <w:szCs w:val="21"/>
        </w:rPr>
        <w:t xml:space="preserve">Colombia (DIAN). </w:t>
      </w:r>
      <w:r>
        <w:rPr>
          <w:rFonts w:ascii="Calibri" w:cs="Calibri" w:eastAsia="Calibri" w:hAnsi="Calibri"/>
          <w:sz w:val="21"/>
          <w:szCs w:val="21"/>
        </w:rPr>
        <w:t xml:space="preserve">Factura electrónica en formato XML UBL 2.1, con firma digital y CUFE, validada previamente por la DIAN antes de entregarse al cliente. Requiere habilitación ante la DIAN y, en la práctica, casi ninguna empresa desarrolla el conector directo con la DIAN: se usa un "proveedor tecnológico" u una API de facturación ya homologada (ej. Factus, Alegra) que abstrae el XML, la firma y el envío. Cada organizador que facture necesita su propio NIT habilitado; la plataforma puede ofrecer esto "as a service" integrando la API en nombre de cada organizador (multi-tenant), o dejar que cada organizador conecte su propia cuenta de facturación.</w:t>
      </w:r>
    </w:p>
    <w:p>
      <w:pPr>
        <w:pStyle w:val="ListParagraph"/>
        <w:numPr>
          <w:ilvl w:val="0"/>
          <w:numId w:val="2"/>
        </w:numPr>
        <w:spacing w:after="100" w:line="280"/>
      </w:pPr>
      <w:r>
        <w:rPr>
          <w:rFonts w:ascii="Calibri" w:cs="Calibri" w:eastAsia="Calibri" w:hAnsi="Calibri"/>
          <w:b/>
          <w:bCs/>
          <w:sz w:val="21"/>
          <w:szCs w:val="21"/>
        </w:rPr>
        <w:t xml:space="preserve">México (SAT / CFDI 4.0). </w:t>
      </w:r>
      <w:r>
        <w:rPr>
          <w:rFonts w:ascii="Calibri" w:cs="Calibri" w:eastAsia="Calibri" w:hAnsi="Calibri"/>
          <w:sz w:val="21"/>
          <w:szCs w:val="21"/>
        </w:rPr>
        <w:t xml:space="preserve">Cada emisor necesita RFC y Certificado de Sello Digital (CSD); el XML se timbra a través de un PAC (Proveedor Autorizado de Certificación). Igual que en Colombia, casi nadie se integra directo con el SAT: se usa una API intermedia (ej. gigstack) que recibe los datos en JSON y devuelve el CFDI timbrado con folio único (UUID).</w:t>
      </w:r>
    </w:p>
    <w:p>
      <w:pPr>
        <w:pStyle w:val="ListParagraph"/>
        <w:numPr>
          <w:ilvl w:val="0"/>
          <w:numId w:val="2"/>
        </w:numPr>
        <w:spacing w:after="100" w:line="280"/>
      </w:pPr>
      <w:r>
        <w:rPr>
          <w:rFonts w:ascii="Calibri" w:cs="Calibri" w:eastAsia="Calibri" w:hAnsi="Calibri"/>
          <w:b/>
          <w:bCs/>
          <w:sz w:val="21"/>
          <w:szCs w:val="21"/>
        </w:rPr>
        <w:t xml:space="preserve">Implicación de arquitectura: </w:t>
      </w:r>
      <w:r>
        <w:rPr>
          <w:rFonts w:ascii="Calibri" w:cs="Calibri" w:eastAsia="Calibri" w:hAnsi="Calibri"/>
          <w:sz w:val="21"/>
          <w:szCs w:val="21"/>
        </w:rPr>
        <w:t xml:space="preserve">el módulo de facturación es un servicio propio dentro de la plataforma, con un adaptador por país (DIAN vs. CFDI), que se dispara automáticamente después de un pago confirmado y antes de habilitar la descarga del boleto/factura en el perfil del cliente.</w:t>
      </w:r>
    </w:p>
    <w:p>
      <w:r>
        <w:br w:type="page"/>
      </w:r>
    </w:p>
    <w:p>
      <w:pPr>
        <w:pStyle w:val="Heading1"/>
        <w:pBdr>
          <w:bottom w:val="single" w:color="1F2A44" w:sz="6" w:space="4"/>
        </w:pBdr>
        <w:spacing w:after="240" w:before="480"/>
      </w:pPr>
      <w:r>
        <w:rPr>
          <w:rFonts w:ascii="Calibri" w:cs="Calibri" w:eastAsia="Calibri" w:hAnsi="Calibri"/>
          <w:b/>
          <w:bCs/>
          <w:color w:val="1F2A44"/>
          <w:sz w:val="30"/>
          <w:szCs w:val="30"/>
        </w:rPr>
        <w:t xml:space="preserve">3. Arquitectura técnica propuesta</w:t>
      </w:r>
    </w:p>
    <w:p>
      <w:pPr>
        <w:pStyle w:val="Heading2"/>
        <w:spacing w:after="160" w:before="320"/>
      </w:pPr>
      <w:r>
        <w:rPr>
          <w:rFonts w:ascii="Calibri" w:cs="Calibri" w:eastAsia="Calibri" w:hAnsi="Calibri"/>
          <w:b/>
          <w:bCs/>
          <w:color w:val="1F2A44"/>
          <w:sz w:val="24"/>
          <w:szCs w:val="24"/>
        </w:rPr>
        <w:t xml:space="preserve">3.1 Stack recomendado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Capa</w:t>
            </w:r>
          </w:p>
        </w:tc>
        <w:tc>
          <w:tcPr>
            <w:tcW w:type="dxa" w:w="32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Tecnología</w:t>
            </w:r>
          </w:p>
        </w:tc>
        <w:tc>
          <w:tcPr>
            <w:tcW w:type="dxa" w:w="36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Rol</w:t>
            </w:r>
          </w:p>
        </w:tc>
      </w:tr>
      <w:tr>
        <w:tc>
          <w:tcPr>
            <w:tcW w:type="dxa" w:w="2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Frontend web (comprador, organizador, admin)</w:t>
            </w:r>
          </w:p>
        </w:tc>
        <w:tc>
          <w:tcPr>
            <w:tcW w:type="dxa" w:w="32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Next.js en Vercel</w:t>
            </w:r>
          </w:p>
        </w:tc>
        <w:tc>
          <w:tcPr>
            <w:tcW w:type="dxa" w:w="3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App Router, SSR/ISR para páginas de evento (SEO), rutas API para checkout y webhooks.</w:t>
            </w:r>
          </w:p>
        </w:tc>
      </w:tr>
      <w:tr>
        <w:tc>
          <w:tcPr>
            <w:tcW w:type="dxa" w:w="2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Base de datos + backend</w:t>
            </w:r>
          </w:p>
        </w:tc>
        <w:tc>
          <w:tcPr>
            <w:tcW w:type="dxa" w:w="32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Supabase (Postgres)</w:t>
            </w:r>
          </w:p>
        </w:tc>
        <w:tc>
          <w:tcPr>
            <w:tcW w:type="dxa" w:w="3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Modelo relacional para eventos, boletos, órdenes, usuarios, organizadores, ledger de pagos.</w:t>
            </w:r>
          </w:p>
        </w:tc>
      </w:tr>
      <w:tr>
        <w:tc>
          <w:tcPr>
            <w:tcW w:type="dxa" w:w="2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Autenticación</w:t>
            </w:r>
          </w:p>
        </w:tc>
        <w:tc>
          <w:tcPr>
            <w:tcW w:type="dxa" w:w="32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Supabase Auth</w:t>
            </w:r>
          </w:p>
        </w:tc>
        <w:tc>
          <w:tcPr>
            <w:tcW w:type="dxa" w:w="3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Compradores, organizadores y staff de validación en el mismo sistema, con roles distintos.</w:t>
            </w:r>
          </w:p>
        </w:tc>
      </w:tr>
      <w:tr>
        <w:tc>
          <w:tcPr>
            <w:tcW w:type="dxa" w:w="2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Autorización a nivel de fila</w:t>
            </w:r>
          </w:p>
        </w:tc>
        <w:tc>
          <w:tcPr>
            <w:tcW w:type="dxa" w:w="32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Row Level Security (RLS) de Postgres</w:t>
            </w:r>
          </w:p>
        </w:tc>
        <w:tc>
          <w:tcPr>
            <w:tcW w:type="dxa" w:w="3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Un comprador solo ve sus propias órdenes; un organizador solo ve sus propios eventos y ventas.</w:t>
            </w:r>
          </w:p>
        </w:tc>
      </w:tr>
      <w:tr>
        <w:tc>
          <w:tcPr>
            <w:tcW w:type="dxa" w:w="2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Tiempo real</w:t>
            </w:r>
          </w:p>
        </w:tc>
        <w:tc>
          <w:tcPr>
            <w:tcW w:type="dxa" w:w="32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Supabase Realtime (Broadcast, no Postgres Changes crudo)</w:t>
            </w:r>
          </w:p>
        </w:tc>
        <w:tc>
          <w:tcPr>
            <w:tcW w:type="dxa" w:w="3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Disponibilidad de asientos/inventario en vivo durante el checkout.</w:t>
            </w:r>
          </w:p>
        </w:tc>
      </w:tr>
      <w:tr>
        <w:tc>
          <w:tcPr>
            <w:tcW w:type="dxa" w:w="2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Funciones en segundo plano</w:t>
            </w:r>
          </w:p>
        </w:tc>
        <w:tc>
          <w:tcPr>
            <w:tcW w:type="dxa" w:w="32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Supabase Edge Functions + colas (ej. tabla de jobs o un servicio tipo QStash/Trigger.dev)</w:t>
            </w:r>
          </w:p>
        </w:tc>
        <w:tc>
          <w:tcPr>
            <w:tcW w:type="dxa" w:w="3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Emitir factura, disparar payout, enviar boleto por correo, expirar holds de asiento vencidos.</w:t>
            </w:r>
          </w:p>
        </w:tc>
      </w:tr>
      <w:tr>
        <w:tc>
          <w:tcPr>
            <w:tcW w:type="dxa" w:w="2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Pagos</w:t>
            </w:r>
          </w:p>
        </w:tc>
        <w:tc>
          <w:tcPr>
            <w:tcW w:type="dxa" w:w="32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Stripe (EE. UU.) + Wompi (Colombia, dispersión)</w:t>
            </w:r>
          </w:p>
        </w:tc>
        <w:tc>
          <w:tcPr>
            <w:tcW w:type="dxa" w:w="3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Ver sección 2.</w:t>
            </w:r>
          </w:p>
        </w:tc>
      </w:tr>
      <w:tr>
        <w:tc>
          <w:tcPr>
            <w:tcW w:type="dxa" w:w="2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Mapas de asientos</w:t>
            </w:r>
          </w:p>
        </w:tc>
        <w:tc>
          <w:tcPr>
            <w:tcW w:type="dxa" w:w="32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Seats.io (evaluar) o motor propio en fase 2</w:t>
            </w:r>
          </w:p>
        </w:tc>
        <w:tc>
          <w:tcPr>
            <w:tcW w:type="dxa" w:w="3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Ver sección 5.7.</w:t>
            </w:r>
          </w:p>
        </w:tc>
      </w:tr>
      <w:tr>
        <w:tc>
          <w:tcPr>
            <w:tcW w:type="dxa" w:w="2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Boletos / QR</w:t>
            </w:r>
          </w:p>
        </w:tc>
        <w:tc>
          <w:tcPr>
            <w:tcW w:type="dxa" w:w="32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Generación de QR firmado + Supabase Storage o generación on-the-fly</w:t>
            </w:r>
          </w:p>
        </w:tc>
        <w:tc>
          <w:tcPr>
            <w:tcW w:type="dxa" w:w="3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Ver sección 5.6.</w:t>
            </w:r>
          </w:p>
        </w:tc>
      </w:tr>
      <w:tr>
        <w:tc>
          <w:tcPr>
            <w:tcW w:type="dxa" w:w="2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Facturación electrónica</w:t>
            </w:r>
          </w:p>
        </w:tc>
        <w:tc>
          <w:tcPr>
            <w:tcW w:type="dxa" w:w="32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Factus/Alegra (Colombia) + gigstack u otro PAC (México)</w:t>
            </w:r>
          </w:p>
        </w:tc>
        <w:tc>
          <w:tcPr>
            <w:tcW w:type="dxa" w:w="3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Ver sección 2.4.</w:t>
            </w:r>
          </w:p>
        </w:tc>
      </w:tr>
      <w:tr>
        <w:tc>
          <w:tcPr>
            <w:tcW w:type="dxa" w:w="2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API pública para partners</w:t>
            </w:r>
          </w:p>
        </w:tc>
        <w:tc>
          <w:tcPr>
            <w:tcW w:type="dxa" w:w="32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Rutas API dedicadas (Next.js/Edge Functions) + API Gateway ligero</w:t>
            </w:r>
          </w:p>
        </w:tc>
        <w:tc>
          <w:tcPr>
            <w:tcW w:type="dxa" w:w="3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Ver sección 5.8.</w:t>
            </w:r>
          </w:p>
        </w:tc>
      </w:tr>
    </w:tbl>
    <w:p>
      <w:pPr>
        <w:pStyle w:val="Heading2"/>
        <w:spacing w:after="160" w:before="320"/>
      </w:pPr>
      <w:r>
        <w:rPr>
          <w:rFonts w:ascii="Calibri" w:cs="Calibri" w:eastAsia="Calibri" w:hAnsi="Calibri"/>
          <w:b/>
          <w:bCs/>
          <w:color w:val="1F2A44"/>
          <w:sz w:val="24"/>
          <w:szCs w:val="24"/>
        </w:rPr>
        <w:t xml:space="preserve">3.2 ¿Es viable con Supabase?</w:t>
      </w:r>
    </w:p>
    <w:p>
      <w:pPr>
        <w:spacing w:after="160" w:line="300"/>
      </w:pPr>
      <w:r>
        <w:rPr>
          <w:rFonts w:ascii="Calibri" w:cs="Calibri" w:eastAsia="Calibri" w:hAnsi="Calibri"/>
          <w:b/>
          <w:bCs/>
          <w:sz w:val="21"/>
          <w:szCs w:val="21"/>
        </w:rPr>
        <w:t xml:space="preserve">Sí, con matices claros. </w:t>
      </w:r>
      <w:r>
        <w:rPr>
          <w:rFonts w:ascii="Calibri" w:cs="Calibri" w:eastAsia="Calibri" w:hAnsi="Calibri"/>
          <w:b/>
          <w:bCs/>
          <w:sz w:val="21"/>
          <w:szCs w:val="21"/>
        </w:rPr>
        <w:t xml:space="preserve">inventario de asientos en tiempo real durante un "on-sale" masivo</w:t>
      </w:r>
      <w:r>
        <w:rPr>
          <w:rFonts w:ascii="Calibri" w:cs="Calibri" w:eastAsia="Calibri" w:hAnsi="Calibri"/>
          <w:sz w:val="21"/>
          <w:szCs w:val="21"/>
        </w:rPr>
        <w:t xml:space="preserve">:</w:t>
      </w:r>
    </w:p>
    <w:p>
      <w:pPr>
        <w:pStyle w:val="ListParagraph"/>
        <w:numPr>
          <w:ilvl w:val="0"/>
          <w:numId w:val="2"/>
        </w:numPr>
        <w:spacing w:after="100" w:line="280"/>
      </w:pPr>
      <w:r>
        <w:rPr>
          <w:rFonts w:ascii="Calibri" w:cs="Calibri" w:eastAsia="Calibri" w:hAnsi="Calibri"/>
          <w:b/>
          <w:bCs/>
          <w:sz w:val="21"/>
          <w:szCs w:val="21"/>
        </w:rPr>
        <w:t xml:space="preserve">Benchmarks de Realtime: </w:t>
      </w:r>
      <w:r>
        <w:rPr>
          <w:rFonts w:ascii="Calibri" w:cs="Calibri" w:eastAsia="Calibri" w:hAnsi="Calibri"/>
          <w:sz w:val="21"/>
          <w:szCs w:val="21"/>
        </w:rPr>
        <w:t xml:space="preserve">Supabase reporta pruebas con hasta 250,000 usuarios concurrentes y más de 800,000 mensajes/segundo usando Broadcast, con latencia mediana de 58 ms. Esto alcanza de sobra para mostrar disponibilidad de boletos en vivo.</w:t>
      </w:r>
    </w:p>
    <w:p>
      <w:pPr>
        <w:pStyle w:val="ListParagraph"/>
        <w:numPr>
          <w:ilvl w:val="0"/>
          <w:numId w:val="2"/>
        </w:numPr>
        <w:spacing w:after="100" w:line="280"/>
      </w:pPr>
      <w:r>
        <w:rPr>
          <w:rFonts w:ascii="Calibri" w:cs="Calibri" w:eastAsia="Calibri" w:hAnsi="Calibri"/>
          <w:b/>
          <w:bCs/>
          <w:sz w:val="21"/>
          <w:szCs w:val="21"/>
        </w:rPr>
        <w:t xml:space="preserve">La trampa a evitar: </w:t>
      </w:r>
      <w:r>
        <w:rPr>
          <w:rFonts w:ascii="Calibri" w:cs="Calibri" w:eastAsia="Calibri" w:hAnsi="Calibri"/>
          <w:sz w:val="21"/>
          <w:szCs w:val="21"/>
        </w:rPr>
        <w:t xml:space="preserve">suscribirse en vivo a cambios de la tabla de inventario vía "Postgres Changes" no escala igual, porque los cambios de base de datos se procesan en un solo hilo para mantener el orden. La recomendación de Supabase, y la que seguiría esta arquitectura, es usar Broadcast desde una función/trigger hacia los clientes, en vez de exponer la tabla cruda en tiempo real.</w:t>
      </w:r>
    </w:p>
    <w:p>
      <w:pPr>
        <w:pStyle w:val="ListParagraph"/>
        <w:numPr>
          <w:ilvl w:val="0"/>
          <w:numId w:val="2"/>
        </w:numPr>
        <w:spacing w:after="100" w:line="280"/>
      </w:pPr>
      <w:r>
        <w:rPr>
          <w:rFonts w:ascii="Calibri" w:cs="Calibri" w:eastAsia="Calibri" w:hAnsi="Calibri"/>
          <w:b/>
          <w:bCs/>
          <w:sz w:val="21"/>
          <w:szCs w:val="21"/>
        </w:rPr>
        <w:t xml:space="preserve">Bloqueo de asientos/boletos (evitar sobreventa): </w:t>
      </w:r>
      <w:r>
        <w:rPr>
          <w:rFonts w:ascii="Calibri" w:cs="Calibri" w:eastAsia="Calibri" w:hAnsi="Calibri"/>
          <w:sz w:val="21"/>
          <w:szCs w:val="21"/>
        </w:rPr>
        <w:t xml:space="preserve">se resuelve con transacciones de Postgres y bloqueos a nivel de fila (SELECT … FOR UPDATE) o un esquema de "hold" con expiración (ej. 8-10 minutos) gestionado por un job que libera boletos abandonados en el carrito. Esto es estándar en sistemas de este tipo y Postgres lo soporta bien; no es exclusivo de Supabase.</w:t>
      </w:r>
    </w:p>
    <w:p>
      <w:pPr>
        <w:pStyle w:val="Heading2"/>
        <w:spacing w:after="160" w:before="320"/>
      </w:pPr>
      <w:r>
        <w:rPr>
          <w:rFonts w:ascii="Calibri" w:cs="Calibri" w:eastAsia="Calibri" w:hAnsi="Calibri"/>
          <w:b/>
          <w:bCs/>
          <w:color w:val="1F2A44"/>
          <w:sz w:val="24"/>
          <w:szCs w:val="24"/>
        </w:rPr>
        <w:t xml:space="preserve">3.3 ¿Es viable con Vercel?</w:t>
      </w:r>
    </w:p>
    <w:p>
      <w:pPr>
        <w:spacing w:after="160" w:line="300"/>
      </w:pPr>
      <w:r>
        <w:rPr>
          <w:rFonts w:ascii="Calibri" w:cs="Calibri" w:eastAsia="Calibri" w:hAnsi="Calibri"/>
          <w:b/>
          <w:bCs/>
          <w:sz w:val="21"/>
          <w:szCs w:val="21"/>
        </w:rPr>
        <w:t xml:space="preserve">Sí, con matices claros. </w:t>
      </w:r>
      <w:r>
        <w:rPr>
          <w:rFonts w:ascii="Calibri" w:cs="Calibri" w:eastAsia="Calibri" w:hAnsi="Calibri"/>
          <w:sz w:val="21"/>
          <w:szCs w:val="21"/>
        </w:rPr>
        <w:t xml:space="preserve">Vercel es una excelente opción para el frontend y la mayoría de rutas API, pero dos cosas no deben vivir dentro de una función serverless de request/response corta:</w:t>
      </w:r>
    </w:p>
    <w:p>
      <w:pPr>
        <w:pStyle w:val="ListParagraph"/>
        <w:numPr>
          <w:ilvl w:val="0"/>
          <w:numId w:val="2"/>
        </w:numPr>
        <w:spacing w:after="100" w:line="280"/>
      </w:pPr>
      <w:r>
        <w:rPr>
          <w:rFonts w:ascii="Calibri" w:cs="Calibri" w:eastAsia="Calibri" w:hAnsi="Calibri"/>
          <w:b/>
          <w:bCs/>
          <w:sz w:val="21"/>
          <w:szCs w:val="21"/>
        </w:rPr>
        <w:t xml:space="preserve">Webhooks de Stripe y de facturación electrónica. </w:t>
      </w:r>
      <w:r>
        <w:rPr>
          <w:rFonts w:ascii="Calibri" w:cs="Calibri" w:eastAsia="Calibri" w:hAnsi="Calibri"/>
          <w:sz w:val="21"/>
          <w:szCs w:val="21"/>
        </w:rPr>
        <w:t xml:space="preserve">Deben responder rápido (Stripe espera confirmación en segundos) y encolar el trabajo pesado (emitir factura, generar boleto, notificar) para procesarlo aparte, en vez de hacerlo todo en la misma función. Vercel permite funciones de hasta 300s en plan gratuito y hasta ~800s (13 min) en Pro/Enterprise, con una opción beta de hasta 30 min (Fluid Compute) — suficiente incluso sin colas externas, pero una cola es más robusta ante picos.</w:t>
      </w:r>
    </w:p>
    <w:p>
      <w:pPr>
        <w:pStyle w:val="ListParagraph"/>
        <w:numPr>
          <w:ilvl w:val="0"/>
          <w:numId w:val="2"/>
        </w:numPr>
        <w:spacing w:after="100" w:line="280"/>
      </w:pPr>
      <w:r>
        <w:rPr>
          <w:rFonts w:ascii="Calibri" w:cs="Calibri" w:eastAsia="Calibri" w:hAnsi="Calibri"/>
          <w:b/>
          <w:bCs/>
          <w:sz w:val="21"/>
          <w:szCs w:val="21"/>
        </w:rPr>
        <w:t xml:space="preserve">Jobs programados / reintentos. </w:t>
      </w:r>
      <w:r>
        <w:rPr>
          <w:rFonts w:ascii="Calibri" w:cs="Calibri" w:eastAsia="Calibri" w:hAnsi="Calibri"/>
          <w:sz w:val="21"/>
          <w:szCs w:val="21"/>
        </w:rPr>
        <w:t xml:space="preserve">Expirar holds de asiento, reconciliar pagos con Wompi, reintentar facturas fallidas: usar Vercel Cron Jobs o un servicio de colas (QStash, Trigger.dev, o una tabla de "outbox" en Supabase con un worker) en vez de depender de que un usuario tenga la pestaña abierta.</w:t>
      </w:r>
    </w:p>
    <w:p>
      <w:pPr>
        <w:spacing w:after="160" w:line="300"/>
      </w:pPr>
      <w:r>
        <w:rPr>
          <w:rFonts w:ascii="Calibri" w:cs="Calibri" w:eastAsia="Calibri" w:hAnsi="Calibri"/>
          <w:sz w:val="21"/>
          <w:szCs w:val="21"/>
        </w:rPr>
        <w:t xml:space="preserve">En resumen: Next.js + Vercel + Supabase es una combinación probada para este tipo de producto (es el mismo patrón que usan cientos de SaaS transaccionales), siempre que el procesamiento de pagos/facturación se diseñe como asíncrono desde el día uno.</w:t>
      </w:r>
    </w:p>
    <w:p>
      <w:r>
        <w:br w:type="page"/>
      </w:r>
    </w:p>
    <w:p>
      <w:pPr>
        <w:pStyle w:val="Heading1"/>
        <w:pBdr>
          <w:bottom w:val="single" w:color="1F2A44" w:sz="6" w:space="4"/>
        </w:pBdr>
        <w:spacing w:after="240" w:before="480"/>
      </w:pPr>
      <w:r>
        <w:rPr>
          <w:rFonts w:ascii="Calibri" w:cs="Calibri" w:eastAsia="Calibri" w:hAnsi="Calibri"/>
          <w:b/>
          <w:bCs/>
          <w:color w:val="1F2A44"/>
          <w:sz w:val="30"/>
          <w:szCs w:val="30"/>
        </w:rPr>
        <w:t xml:space="preserve">4. Módulos funcionales del producto</w:t>
      </w:r>
    </w:p>
    <w:p>
      <w:pPr>
        <w:pStyle w:val="Heading2"/>
        <w:spacing w:after="160" w:before="320"/>
      </w:pPr>
      <w:r>
        <w:rPr>
          <w:rFonts w:ascii="Calibri" w:cs="Calibri" w:eastAsia="Calibri" w:hAnsi="Calibri"/>
          <w:b/>
          <w:bCs/>
          <w:color w:val="1F2A44"/>
          <w:sz w:val="24"/>
          <w:szCs w:val="24"/>
        </w:rPr>
        <w:t xml:space="preserve">4.1 Portal público (marketplace de eventos)</w:t>
      </w:r>
    </w:p>
    <w:p>
      <w:pPr>
        <w:pStyle w:val="ListParagraph"/>
        <w:numPr>
          <w:ilvl w:val="0"/>
          <w:numId w:val="2"/>
        </w:numPr>
        <w:spacing w:after="100" w:line="280"/>
      </w:pPr>
      <w:r>
        <w:rPr>
          <w:rFonts w:ascii="Calibri" w:cs="Calibri" w:eastAsia="Calibri" w:hAnsi="Calibri"/>
          <w:sz w:val="21"/>
          <w:szCs w:val="21"/>
        </w:rPr>
        <w:t xml:space="preserve">Catálogo de eventos por ciudad, categoría y fecha (como TuBoleta/La Tiquetera).</w:t>
      </w:r>
    </w:p>
    <w:p>
      <w:pPr>
        <w:pStyle w:val="ListParagraph"/>
        <w:numPr>
          <w:ilvl w:val="0"/>
          <w:numId w:val="2"/>
        </w:numPr>
        <w:spacing w:after="100" w:line="280"/>
      </w:pPr>
      <w:r>
        <w:rPr>
          <w:rFonts w:ascii="Calibri" w:cs="Calibri" w:eastAsia="Calibri" w:hAnsi="Calibri"/>
          <w:sz w:val="21"/>
          <w:szCs w:val="21"/>
        </w:rPr>
        <w:t xml:space="preserve">Página de evento con mapa de asientos o selector de cantidad (entrada general).</w:t>
      </w:r>
    </w:p>
    <w:p>
      <w:pPr>
        <w:pStyle w:val="ListParagraph"/>
        <w:numPr>
          <w:ilvl w:val="0"/>
          <w:numId w:val="2"/>
        </w:numPr>
        <w:spacing w:after="100" w:line="280"/>
      </w:pPr>
      <w:r>
        <w:rPr>
          <w:rFonts w:ascii="Calibri" w:cs="Calibri" w:eastAsia="Calibri" w:hAnsi="Calibri"/>
          <w:sz w:val="21"/>
          <w:szCs w:val="21"/>
        </w:rPr>
        <w:t xml:space="preserve">Checkout con Stripe (tarjeta) y Wompi/PSE para Colombia.</w:t>
      </w:r>
    </w:p>
    <w:p>
      <w:pPr>
        <w:pStyle w:val="ListParagraph"/>
        <w:numPr>
          <w:ilvl w:val="0"/>
          <w:numId w:val="2"/>
        </w:numPr>
        <w:spacing w:after="100" w:line="280"/>
      </w:pPr>
      <w:r>
        <w:rPr>
          <w:rFonts w:ascii="Calibri" w:cs="Calibri" w:eastAsia="Calibri" w:hAnsi="Calibri"/>
          <w:sz w:val="21"/>
          <w:szCs w:val="21"/>
        </w:rPr>
        <w:t xml:space="preserve">Códigos de descuento, preventas con acceso anticipado, límite de boletos por comprador.</w:t>
      </w:r>
    </w:p>
    <w:p>
      <w:pPr>
        <w:pStyle w:val="Heading2"/>
        <w:spacing w:after="160" w:before="320"/>
      </w:pPr>
      <w:r>
        <w:rPr>
          <w:rFonts w:ascii="Calibri" w:cs="Calibri" w:eastAsia="Calibri" w:hAnsi="Calibri"/>
          <w:b/>
          <w:bCs/>
          <w:color w:val="1F2A44"/>
          <w:sz w:val="24"/>
          <w:szCs w:val="24"/>
        </w:rPr>
        <w:t xml:space="preserve">4.2 Perfil de cliente</w:t>
      </w:r>
    </w:p>
    <w:p>
      <w:pPr>
        <w:pStyle w:val="ListParagraph"/>
        <w:numPr>
          <w:ilvl w:val="0"/>
          <w:numId w:val="2"/>
        </w:numPr>
        <w:spacing w:after="100" w:line="280"/>
      </w:pPr>
      <w:r>
        <w:rPr>
          <w:rFonts w:ascii="Calibri" w:cs="Calibri" w:eastAsia="Calibri" w:hAnsi="Calibri"/>
          <w:sz w:val="21"/>
          <w:szCs w:val="21"/>
        </w:rPr>
        <w:t xml:space="preserve">Historial de compras con estado (confirmada, reembolsada, transferida).</w:t>
      </w:r>
    </w:p>
    <w:p>
      <w:pPr>
        <w:pStyle w:val="ListParagraph"/>
        <w:numPr>
          <w:ilvl w:val="0"/>
          <w:numId w:val="2"/>
        </w:numPr>
        <w:spacing w:after="100" w:line="280"/>
      </w:pPr>
      <w:r>
        <w:rPr>
          <w:rFonts w:ascii="Calibri" w:cs="Calibri" w:eastAsia="Calibri" w:hAnsi="Calibri"/>
          <w:sz w:val="21"/>
          <w:szCs w:val="21"/>
        </w:rPr>
        <w:t xml:space="preserve">Descarga de boletos (PDF/QR) y de la factura electrónica asociada a cada compra.</w:t>
      </w:r>
    </w:p>
    <w:p>
      <w:pPr>
        <w:pStyle w:val="ListParagraph"/>
        <w:numPr>
          <w:ilvl w:val="0"/>
          <w:numId w:val="2"/>
        </w:numPr>
        <w:spacing w:after="100" w:line="280"/>
      </w:pPr>
      <w:r>
        <w:rPr>
          <w:rFonts w:ascii="Calibri" w:cs="Calibri" w:eastAsia="Calibri" w:hAnsi="Calibri"/>
          <w:sz w:val="21"/>
          <w:szCs w:val="21"/>
        </w:rPr>
        <w:t xml:space="preserve">Transferencia de boleto a otra persona (como "Pásala" de TuBoleta) — cambia el titular del QR de forma controlada.</w:t>
      </w:r>
    </w:p>
    <w:p>
      <w:pPr>
        <w:pStyle w:val="ListParagraph"/>
        <w:numPr>
          <w:ilvl w:val="0"/>
          <w:numId w:val="2"/>
        </w:numPr>
        <w:spacing w:after="100" w:line="280"/>
      </w:pPr>
      <w:r>
        <w:rPr>
          <w:rFonts w:ascii="Calibri" w:cs="Calibri" w:eastAsia="Calibri" w:hAnsi="Calibri"/>
          <w:sz w:val="21"/>
          <w:szCs w:val="21"/>
        </w:rPr>
        <w:t xml:space="preserve">Gestión de datos de facturación (persona natural o empresa, NIT/RFC según el país).</w:t>
      </w:r>
    </w:p>
    <w:p>
      <w:pPr>
        <w:pStyle w:val="Heading2"/>
        <w:spacing w:after="160" w:before="320"/>
      </w:pPr>
      <w:r>
        <w:rPr>
          <w:rFonts w:ascii="Calibri" w:cs="Calibri" w:eastAsia="Calibri" w:hAnsi="Calibri"/>
          <w:b/>
          <w:bCs/>
          <w:color w:val="1F2A44"/>
          <w:sz w:val="24"/>
          <w:szCs w:val="24"/>
        </w:rPr>
        <w:t xml:space="preserve">4.3 Panel de administración / CRM interno</w:t>
      </w:r>
    </w:p>
    <w:p>
      <w:pPr>
        <w:spacing w:after="160" w:line="300"/>
      </w:pPr>
      <w:r>
        <w:rPr>
          <w:rFonts w:ascii="Calibri" w:cs="Calibri" w:eastAsia="Calibri" w:hAnsi="Calibri"/>
          <w:sz w:val="21"/>
          <w:szCs w:val="21"/>
        </w:rPr>
        <w:t xml:space="preserve">Este es el corazón operativo del negocio y donde vive el valor frente a organizadores:</w:t>
      </w:r>
    </w:p>
    <w:p>
      <w:pPr>
        <w:pStyle w:val="ListParagraph"/>
        <w:numPr>
          <w:ilvl w:val="0"/>
          <w:numId w:val="2"/>
        </w:numPr>
        <w:spacing w:after="100" w:line="280"/>
      </w:pPr>
      <w:r>
        <w:rPr>
          <w:rFonts w:ascii="Calibri" w:cs="Calibri" w:eastAsia="Calibri" w:hAnsi="Calibri"/>
          <w:b/>
          <w:bCs/>
          <w:sz w:val="21"/>
          <w:szCs w:val="21"/>
        </w:rPr>
        <w:t xml:space="preserve">Gestión de eventos: </w:t>
      </w:r>
      <w:r>
        <w:rPr>
          <w:rFonts w:ascii="Calibri" w:cs="Calibri" w:eastAsia="Calibri" w:hAnsi="Calibri"/>
          <w:sz w:val="21"/>
          <w:szCs w:val="21"/>
        </w:rPr>
        <w:t xml:space="preserve">creación con wizard (datos, venue, imágenes, fechas de venta), tipos de boleto y precios escalonados (early bird, general, VIP), cupos por tipo, mapa de asientos si aplica.</w:t>
      </w:r>
    </w:p>
    <w:p>
      <w:pPr>
        <w:pStyle w:val="ListParagraph"/>
        <w:numPr>
          <w:ilvl w:val="0"/>
          <w:numId w:val="2"/>
        </w:numPr>
        <w:spacing w:after="100" w:line="280"/>
      </w:pPr>
      <w:r>
        <w:rPr>
          <w:rFonts w:ascii="Calibri" w:cs="Calibri" w:eastAsia="Calibri" w:hAnsi="Calibri"/>
          <w:b/>
          <w:bCs/>
          <w:sz w:val="21"/>
          <w:szCs w:val="21"/>
        </w:rPr>
        <w:t xml:space="preserve">CRM de organizadores: </w:t>
      </w:r>
      <w:r>
        <w:rPr>
          <w:rFonts w:ascii="Calibri" w:cs="Calibri" w:eastAsia="Calibri" w:hAnsi="Calibri"/>
          <w:sz w:val="21"/>
          <w:szCs w:val="21"/>
        </w:rPr>
        <w:t xml:space="preserve">ficha por organizador con comisión pactada, entidad/país (para saber si su payout va por Stripe Connect o por el riel colombiano), historial de eventos, estado de habilitación de facturación electrónica.</w:t>
      </w:r>
    </w:p>
    <w:p>
      <w:pPr>
        <w:pStyle w:val="ListParagraph"/>
        <w:numPr>
          <w:ilvl w:val="0"/>
          <w:numId w:val="2"/>
        </w:numPr>
        <w:spacing w:after="100" w:line="280"/>
      </w:pPr>
      <w:r>
        <w:rPr>
          <w:rFonts w:ascii="Calibri" w:cs="Calibri" w:eastAsia="Calibri" w:hAnsi="Calibri"/>
          <w:b/>
          <w:bCs/>
          <w:sz w:val="21"/>
          <w:szCs w:val="21"/>
        </w:rPr>
        <w:t xml:space="preserve">Reportes de venta: </w:t>
      </w:r>
      <w:r>
        <w:rPr>
          <w:rFonts w:ascii="Calibri" w:cs="Calibri" w:eastAsia="Calibri" w:hAnsi="Calibri"/>
          <w:sz w:val="21"/>
          <w:szCs w:val="21"/>
        </w:rPr>
        <w:t xml:space="preserve">en vivo por evento, por tipo de boleto, por canal, comparativo contra aforo, proyección de ingresos.</w:t>
      </w:r>
    </w:p>
    <w:p>
      <w:pPr>
        <w:pStyle w:val="ListParagraph"/>
        <w:numPr>
          <w:ilvl w:val="0"/>
          <w:numId w:val="2"/>
        </w:numPr>
        <w:spacing w:after="100" w:line="280"/>
      </w:pPr>
      <w:r>
        <w:rPr>
          <w:rFonts w:ascii="Calibri" w:cs="Calibri" w:eastAsia="Calibri" w:hAnsi="Calibri"/>
          <w:b/>
          <w:bCs/>
          <w:sz w:val="21"/>
          <w:szCs w:val="21"/>
        </w:rPr>
        <w:t xml:space="preserve">Gestión financiera: </w:t>
      </w:r>
      <w:r>
        <w:rPr>
          <w:rFonts w:ascii="Calibri" w:cs="Calibri" w:eastAsia="Calibri" w:hAnsi="Calibri"/>
          <w:sz w:val="21"/>
          <w:szCs w:val="21"/>
        </w:rPr>
        <w:t xml:space="preserve">panel de comisiones cobradas, saldos pendientes por pagar a cada organizador, historial de dispersiones/payouts, conciliación de Stripe y Wompi.</w:t>
      </w:r>
    </w:p>
    <w:p>
      <w:pPr>
        <w:pStyle w:val="ListParagraph"/>
        <w:numPr>
          <w:ilvl w:val="0"/>
          <w:numId w:val="2"/>
        </w:numPr>
        <w:spacing w:after="100" w:line="280"/>
      </w:pPr>
      <w:r>
        <w:rPr>
          <w:rFonts w:ascii="Calibri" w:cs="Calibri" w:eastAsia="Calibri" w:hAnsi="Calibri"/>
          <w:b/>
          <w:bCs/>
          <w:sz w:val="21"/>
          <w:szCs w:val="21"/>
        </w:rPr>
        <w:t xml:space="preserve">Roles y permisos: </w:t>
      </w:r>
      <w:r>
        <w:rPr>
          <w:rFonts w:ascii="Calibri" w:cs="Calibri" w:eastAsia="Calibri" w:hAnsi="Calibri"/>
          <w:sz w:val="21"/>
          <w:szCs w:val="21"/>
        </w:rPr>
        <w:t xml:space="preserve">super-admin (plataforma), admin de organizador, staff de puerta (solo escaneo), soporte al cliente (solo lectura + reembolsos limitados).</w:t>
      </w:r>
    </w:p>
    <w:p>
      <w:pPr>
        <w:pStyle w:val="ListParagraph"/>
        <w:numPr>
          <w:ilvl w:val="0"/>
          <w:numId w:val="2"/>
        </w:numPr>
        <w:spacing w:after="100" w:line="280"/>
      </w:pPr>
      <w:r>
        <w:rPr>
          <w:rFonts w:ascii="Calibri" w:cs="Calibri" w:eastAsia="Calibri" w:hAnsi="Calibri"/>
          <w:b/>
          <w:bCs/>
          <w:sz w:val="21"/>
          <w:szCs w:val="21"/>
        </w:rPr>
        <w:t xml:space="preserve">Soporte al cliente: </w:t>
      </w:r>
      <w:r>
        <w:rPr>
          <w:rFonts w:ascii="Calibri" w:cs="Calibri" w:eastAsia="Calibri" w:hAnsi="Calibri"/>
          <w:sz w:val="21"/>
          <w:szCs w:val="21"/>
        </w:rPr>
        <w:t xml:space="preserve">buscar una orden por comprador/correo/número de factura, reemitir boleto, procesar reembolso parcial o total (con reverso automático en Stripe/Wompi).</w:t>
      </w:r>
    </w:p>
    <w:p>
      <w:pPr>
        <w:pStyle w:val="Heading2"/>
        <w:spacing w:after="160" w:before="320"/>
      </w:pPr>
      <w:r>
        <w:rPr>
          <w:rFonts w:ascii="Calibri" w:cs="Calibri" w:eastAsia="Calibri" w:hAnsi="Calibri"/>
          <w:b/>
          <w:bCs/>
          <w:color w:val="1F2A44"/>
          <w:sz w:val="24"/>
          <w:szCs w:val="24"/>
        </w:rPr>
        <w:t xml:space="preserve">4.4 App/portal de validación de boletos (puerta)</w:t>
      </w:r>
    </w:p>
    <w:p>
      <w:pPr>
        <w:pStyle w:val="ListParagraph"/>
        <w:numPr>
          <w:ilvl w:val="0"/>
          <w:numId w:val="2"/>
        </w:numPr>
        <w:spacing w:after="100" w:line="280"/>
      </w:pPr>
      <w:r>
        <w:rPr>
          <w:rFonts w:ascii="Calibri" w:cs="Calibri" w:eastAsia="Calibri" w:hAnsi="Calibri"/>
          <w:sz w:val="21"/>
          <w:szCs w:val="21"/>
        </w:rPr>
        <w:t xml:space="preserve">Cada boleto lleva un QR firmado criptográficamente (no solo un ID plano) para que no se pueda falsificar copiando el diseño.</w:t>
      </w:r>
    </w:p>
    <w:p>
      <w:pPr>
        <w:pStyle w:val="ListParagraph"/>
        <w:numPr>
          <w:ilvl w:val="0"/>
          <w:numId w:val="2"/>
        </w:numPr>
        <w:spacing w:after="100" w:line="280"/>
      </w:pPr>
      <w:r>
        <w:rPr>
          <w:rFonts w:ascii="Calibri" w:cs="Calibri" w:eastAsia="Calibri" w:hAnsi="Calibri"/>
          <w:sz w:val="21"/>
          <w:szCs w:val="21"/>
        </w:rPr>
        <w:t xml:space="preserve">Validación server-side: al escanear, el sistema marca el boleto como "usado" en el momento (previene duplicar el mismo QR en varios teléfonos).</w:t>
      </w:r>
    </w:p>
    <w:p>
      <w:pPr>
        <w:pStyle w:val="ListParagraph"/>
        <w:numPr>
          <w:ilvl w:val="0"/>
          <w:numId w:val="2"/>
        </w:numPr>
        <w:spacing w:after="100" w:line="280"/>
      </w:pPr>
      <w:r>
        <w:rPr>
          <w:rFonts w:ascii="Calibri" w:cs="Calibri" w:eastAsia="Calibri" w:hAnsi="Calibri"/>
          <w:sz w:val="21"/>
          <w:szCs w:val="21"/>
        </w:rPr>
        <w:t xml:space="preserve">Modo con conexión intermitente: cola local en el dispositivo que sincroniza apenas recupera señal, con reglas claras de qué pasa si dos dispositivos intentan validar el mismo boleto casi al mismo tiempo (gana el primero que llega al servidor).</w:t>
      </w:r>
    </w:p>
    <w:p>
      <w:pPr>
        <w:pStyle w:val="ListParagraph"/>
        <w:numPr>
          <w:ilvl w:val="0"/>
          <w:numId w:val="2"/>
        </w:numPr>
        <w:spacing w:after="100" w:line="280"/>
      </w:pPr>
      <w:r>
        <w:rPr>
          <w:rFonts w:ascii="Calibri" w:cs="Calibri" w:eastAsia="Calibri" w:hAnsi="Calibri"/>
          <w:sz w:val="21"/>
          <w:szCs w:val="21"/>
        </w:rPr>
        <w:t xml:space="preserve">Vista de conteo en vivo para el organizador (cuántos han ingresado vs. aforo).</w:t>
      </w:r>
    </w:p>
    <w:p>
      <w:pPr>
        <w:pStyle w:val="Heading2"/>
        <w:spacing w:after="160" w:before="320"/>
      </w:pPr>
      <w:r>
        <w:rPr>
          <w:rFonts w:ascii="Calibri" w:cs="Calibri" w:eastAsia="Calibri" w:hAnsi="Calibri"/>
          <w:b/>
          <w:bCs/>
          <w:color w:val="1F2A44"/>
          <w:sz w:val="24"/>
          <w:szCs w:val="24"/>
        </w:rPr>
        <w:t xml:space="preserve">4.5 API pública para otras empresas</w:t>
      </w:r>
    </w:p>
    <w:p>
      <w:pPr>
        <w:spacing w:after="160" w:line="300"/>
      </w:pPr>
      <w:r>
        <w:rPr>
          <w:rFonts w:ascii="Calibri" w:cs="Calibri" w:eastAsia="Calibri" w:hAnsi="Calibri"/>
          <w:sz w:val="21"/>
          <w:szCs w:val="21"/>
        </w:rPr>
        <w:t xml:space="preserve">Para "darle API a otras empresas" (reventa, integraciones, apps propias de organizadores grandes) se recomienda tratarlo como un producto aparte desde el diseño:</w:t>
      </w:r>
    </w:p>
    <w:p>
      <w:pPr>
        <w:pStyle w:val="ListParagraph"/>
        <w:numPr>
          <w:ilvl w:val="0"/>
          <w:numId w:val="2"/>
        </w:numPr>
        <w:spacing w:after="100" w:line="280"/>
      </w:pPr>
      <w:r>
        <w:rPr>
          <w:rFonts w:ascii="Calibri" w:cs="Calibri" w:eastAsia="Calibri" w:hAnsi="Calibri"/>
          <w:b/>
          <w:bCs/>
          <w:sz w:val="21"/>
          <w:szCs w:val="21"/>
        </w:rPr>
        <w:t xml:space="preserve">Autenticación: </w:t>
      </w:r>
      <w:r>
        <w:rPr>
          <w:rFonts w:ascii="Calibri" w:cs="Calibri" w:eastAsia="Calibri" w:hAnsi="Calibri"/>
          <w:sz w:val="21"/>
          <w:szCs w:val="21"/>
        </w:rPr>
        <w:t xml:space="preserve">API keys por empresa socia (con scopes/permisos) o OAuth2 si necesitan actuar en nombre de un usuario final.</w:t>
      </w:r>
    </w:p>
    <w:p>
      <w:pPr>
        <w:pStyle w:val="ListParagraph"/>
        <w:numPr>
          <w:ilvl w:val="0"/>
          <w:numId w:val="2"/>
        </w:numPr>
        <w:spacing w:after="100" w:line="280"/>
      </w:pPr>
      <w:r>
        <w:rPr>
          <w:rFonts w:ascii="Calibri" w:cs="Calibri" w:eastAsia="Calibri" w:hAnsi="Calibri"/>
          <w:b/>
          <w:bCs/>
          <w:sz w:val="21"/>
          <w:szCs w:val="21"/>
        </w:rPr>
        <w:t xml:space="preserve">Límites de uso: </w:t>
      </w:r>
      <w:r>
        <w:rPr>
          <w:rFonts w:ascii="Calibri" w:cs="Calibri" w:eastAsia="Calibri" w:hAnsi="Calibri"/>
          <w:sz w:val="21"/>
          <w:szCs w:val="21"/>
        </w:rPr>
        <w:t xml:space="preserve">rate limiting por API key, con planes/tiers si en el futuro se monetiza el acceso.</w:t>
      </w:r>
    </w:p>
    <w:p>
      <w:pPr>
        <w:pStyle w:val="ListParagraph"/>
        <w:numPr>
          <w:ilvl w:val="0"/>
          <w:numId w:val="2"/>
        </w:numPr>
        <w:spacing w:after="100" w:line="280"/>
      </w:pPr>
      <w:r>
        <w:rPr>
          <w:rFonts w:ascii="Calibri" w:cs="Calibri" w:eastAsia="Calibri" w:hAnsi="Calibri"/>
          <w:b/>
          <w:bCs/>
          <w:sz w:val="21"/>
          <w:szCs w:val="21"/>
        </w:rPr>
        <w:t xml:space="preserve">Endpoints núcleo: </w:t>
      </w:r>
      <w:r>
        <w:rPr>
          <w:rFonts w:ascii="Calibri" w:cs="Calibri" w:eastAsia="Calibri" w:hAnsi="Calibri"/>
          <w:sz w:val="21"/>
          <w:szCs w:val="21"/>
        </w:rPr>
        <w:t xml:space="preserve">catálogo de eventos, disponibilidad, creación de orden/checkout, consulta de estado de orden, webhooks salientes (evento vendido, boleto validado, evento cancelado).</w:t>
      </w:r>
    </w:p>
    <w:p>
      <w:pPr>
        <w:pStyle w:val="ListParagraph"/>
        <w:numPr>
          <w:ilvl w:val="0"/>
          <w:numId w:val="2"/>
        </w:numPr>
        <w:spacing w:after="100" w:line="280"/>
      </w:pPr>
      <w:r>
        <w:rPr>
          <w:rFonts w:ascii="Calibri" w:cs="Calibri" w:eastAsia="Calibri" w:hAnsi="Calibri"/>
          <w:b/>
          <w:bCs/>
          <w:sz w:val="21"/>
          <w:szCs w:val="21"/>
        </w:rPr>
        <w:t xml:space="preserve">Versionado y documentación: </w:t>
      </w:r>
      <w:r>
        <w:rPr>
          <w:rFonts w:ascii="Calibri" w:cs="Calibri" w:eastAsia="Calibri" w:hAnsi="Calibri"/>
          <w:sz w:val="21"/>
          <w:szCs w:val="21"/>
        </w:rPr>
        <w:t xml:space="preserve">versionar la API desde v1 (rutas /api/v1/…) y publicar documentación tipo OpenAPI/Swagger para que un socio se integre sin soporte manual.</w:t>
      </w:r>
    </w:p>
    <w:p>
      <w:pPr>
        <w:pStyle w:val="ListParagraph"/>
        <w:numPr>
          <w:ilvl w:val="0"/>
          <w:numId w:val="2"/>
        </w:numPr>
        <w:spacing w:after="100" w:line="280"/>
      </w:pPr>
      <w:r>
        <w:rPr>
          <w:rFonts w:ascii="Calibri" w:cs="Calibri" w:eastAsia="Calibri" w:hAnsi="Calibri"/>
          <w:b/>
          <w:bCs/>
          <w:sz w:val="21"/>
          <w:szCs w:val="21"/>
        </w:rPr>
        <w:t xml:space="preserve">Aislamiento: </w:t>
      </w:r>
      <w:r>
        <w:rPr>
          <w:rFonts w:ascii="Calibri" w:cs="Calibri" w:eastAsia="Calibri" w:hAnsi="Calibri"/>
          <w:sz w:val="21"/>
          <w:szCs w:val="21"/>
        </w:rPr>
        <w:t xml:space="preserve">las llamadas de la API pública nunca deben tocar Supabase directamente con la service role key; deben pasar por la misma capa de negocio y RLS que usa el resto del producto.</w:t>
      </w:r>
    </w:p>
    <w:p>
      <w:pPr>
        <w:pStyle w:val="Heading2"/>
        <w:spacing w:after="160" w:before="320"/>
      </w:pPr>
      <w:r>
        <w:rPr>
          <w:rFonts w:ascii="Calibri" w:cs="Calibri" w:eastAsia="Calibri" w:hAnsi="Calibri"/>
          <w:b/>
          <w:bCs/>
          <w:color w:val="1F2A44"/>
          <w:sz w:val="24"/>
          <w:szCs w:val="24"/>
        </w:rPr>
        <w:t xml:space="preserve">4.6 Boletos: entrada general vs. mapa de asientos numerados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500"/>
      </w:tblGrid>
      <w:tr>
        <w:trPr>
          <w:tblHeader/>
        </w:trPr>
        <w:tc>
          <w:tcPr>
            <w:tcW w:type="dxa" w:w="26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
            </w:r>
          </w:p>
        </w:tc>
        <w:tc>
          <w:tcPr>
            <w:tcW w:type="dxa" w:w="33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Entrada general</w:t>
            </w:r>
          </w:p>
        </w:tc>
        <w:tc>
          <w:tcPr>
            <w:tcW w:type="dxa" w:w="35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Asientos numerados</w:t>
            </w:r>
          </w:p>
        </w:tc>
      </w:tr>
      <w:tr>
        <w:tc>
          <w:tcPr>
            <w:tcW w:type="dxa" w:w="2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Complejidad de construcción</w:t>
            </w:r>
          </w:p>
        </w:tc>
        <w:tc>
          <w:tcPr>
            <w:tcW w:type="dxa" w:w="33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Baja-media: contador de cupos por tipo de boleto + hold con expiración.</w:t>
            </w:r>
          </w:p>
        </w:tc>
        <w:tc>
          <w:tcPr>
            <w:tcW w:type="dxa" w:w="35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Alta: editor visual de mapas, selección interactiva, hold por asiento individual, prevención de "asientos sueltos" huérfanos.</w:t>
            </w:r>
          </w:p>
        </w:tc>
      </w:tr>
      <w:tr>
        <w:tc>
          <w:tcPr>
            <w:tcW w:type="dxa" w:w="2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Tiempo estimado adicional</w:t>
            </w:r>
          </w:p>
        </w:tc>
        <w:tc>
          <w:tcPr>
            <w:tcW w:type="dxa" w:w="33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w:t>
            </w:r>
          </w:p>
        </w:tc>
        <w:tc>
          <w:tcPr>
            <w:tcW w:type="dxa" w:w="35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Semanas adicionales si se construye a la medida; días si se integra un servicio como seats.io.</w:t>
            </w:r>
          </w:p>
        </w:tc>
      </w:tr>
      <w:tr>
        <w:tc>
          <w:tcPr>
            <w:tcW w:type="dxa" w:w="2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Recomendación</w:t>
            </w:r>
          </w:p>
        </w:tc>
        <w:tc>
          <w:tcPr>
            <w:tcW w:type="dxa" w:w="33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Construir en casa sobre Supabase (transacciones + hold con expiración).</w:t>
            </w:r>
          </w:p>
        </w:tc>
        <w:tc>
          <w:tcPr>
            <w:tcW w:type="dxa" w:w="35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Evaluar seats.io (o similar) para la v1: ofrece editor de mapas sin código, hold en tiempo real y soporta desde teatros hasta estadios de hasta 80,000 asientos. Construir la versión propia en una fase posterior si el volumen lo justifica.</w:t>
            </w:r>
          </w:p>
        </w:tc>
      </w:tr>
    </w:tbl>
    <w:p>
      <w:r>
        <w:br w:type="page"/>
      </w:r>
    </w:p>
    <w:p>
      <w:pPr>
        <w:pStyle w:val="Heading1"/>
        <w:pBdr>
          <w:bottom w:val="single" w:color="1F2A44" w:sz="6" w:space="4"/>
        </w:pBdr>
        <w:spacing w:after="240" w:before="480"/>
      </w:pPr>
      <w:r>
        <w:rPr>
          <w:rFonts w:ascii="Calibri" w:cs="Calibri" w:eastAsia="Calibri" w:hAnsi="Calibri"/>
          <w:b/>
          <w:bCs/>
          <w:color w:val="1F2A44"/>
          <w:sz w:val="30"/>
          <w:szCs w:val="30"/>
        </w:rPr>
        <w:t xml:space="preserve">5. Seguridad</w:t>
      </w:r>
    </w:p>
    <w:p>
      <w:pPr>
        <w:pStyle w:val="Heading2"/>
        <w:spacing w:after="160" w:before="320"/>
      </w:pPr>
      <w:r>
        <w:rPr>
          <w:rFonts w:ascii="Calibri" w:cs="Calibri" w:eastAsia="Calibri" w:hAnsi="Calibri"/>
          <w:b/>
          <w:bCs/>
          <w:color w:val="1F2A44"/>
          <w:sz w:val="24"/>
          <w:szCs w:val="24"/>
        </w:rPr>
        <w:t xml:space="preserve">5.1 Alcance de PCI DSS</w:t>
      </w:r>
    </w:p>
    <w:p>
      <w:pPr>
        <w:spacing w:after="160" w:line="300"/>
      </w:pPr>
      <w:r>
        <w:rPr>
          <w:rFonts w:ascii="Calibri" w:cs="Calibri" w:eastAsia="Calibri" w:hAnsi="Calibri"/>
          <w:sz w:val="21"/>
          <w:szCs w:val="21"/>
        </w:rPr>
        <w:t xml:space="preserve">Usando Stripe Checkout o Stripe Elements, los datos de tarjeta nunca tocan tus servidores (viajan directo a Stripe desde el navegador del comprador). Esto reduce el alcance de cumplimiento PCI DSS al nivel más simple (SAQ A), en vez de tener que certificar tu propia infraestructura para manejar datos de tarjeta — una diferencia enorme en costo y complejidad.</w:t>
      </w:r>
    </w:p>
    <w:p>
      <w:pPr>
        <w:pStyle w:val="Heading2"/>
        <w:spacing w:after="160" w:before="320"/>
      </w:pPr>
      <w:r>
        <w:rPr>
          <w:rFonts w:ascii="Calibri" w:cs="Calibri" w:eastAsia="Calibri" w:hAnsi="Calibri"/>
          <w:b/>
          <w:bCs/>
          <w:color w:val="1F2A44"/>
          <w:sz w:val="24"/>
          <w:szCs w:val="24"/>
        </w:rPr>
        <w:t xml:space="preserve">5.2 Controles recomendados</w:t>
      </w:r>
    </w:p>
    <w:p>
      <w:pPr>
        <w:pStyle w:val="ListParagraph"/>
        <w:numPr>
          <w:ilvl w:val="0"/>
          <w:numId w:val="2"/>
        </w:numPr>
        <w:spacing w:after="100" w:line="280"/>
      </w:pPr>
      <w:r>
        <w:rPr>
          <w:rFonts w:ascii="Calibri" w:cs="Calibri" w:eastAsia="Calibri" w:hAnsi="Calibri"/>
          <w:b/>
          <w:bCs/>
          <w:sz w:val="21"/>
          <w:szCs w:val="21"/>
        </w:rPr>
        <w:t xml:space="preserve">RLS en cada tabla sensible </w:t>
      </w:r>
      <w:r>
        <w:rPr>
          <w:rFonts w:ascii="Calibri" w:cs="Calibri" w:eastAsia="Calibri" w:hAnsi="Calibri"/>
          <w:sz w:val="21"/>
          <w:szCs w:val="21"/>
        </w:rPr>
        <w:t xml:space="preserve">(órdenes, boletos, datos de facturación, ledger de pagos), con políticas separadas para comprador, organizador y admin.</w:t>
      </w:r>
    </w:p>
    <w:p>
      <w:pPr>
        <w:pStyle w:val="ListParagraph"/>
        <w:numPr>
          <w:ilvl w:val="0"/>
          <w:numId w:val="2"/>
        </w:numPr>
        <w:spacing w:after="100" w:line="280"/>
      </w:pPr>
      <w:r>
        <w:rPr>
          <w:rFonts w:ascii="Calibri" w:cs="Calibri" w:eastAsia="Calibri" w:hAnsi="Calibri"/>
          <w:b/>
          <w:bCs/>
          <w:sz w:val="21"/>
          <w:szCs w:val="21"/>
        </w:rPr>
        <w:t xml:space="preserve">Verificación de firma de webhooks </w:t>
      </w:r>
      <w:r>
        <w:rPr>
          <w:rFonts w:ascii="Calibri" w:cs="Calibri" w:eastAsia="Calibri" w:hAnsi="Calibri"/>
          <w:sz w:val="21"/>
          <w:szCs w:val="21"/>
        </w:rPr>
        <w:t xml:space="preserve">(Stripe, Wompi, proveedor de facturación) para asegurar que las notificaciones vienen realmente de esos servicios y no de un tercero.</w:t>
      </w:r>
    </w:p>
    <w:p>
      <w:pPr>
        <w:pStyle w:val="ListParagraph"/>
        <w:numPr>
          <w:ilvl w:val="0"/>
          <w:numId w:val="2"/>
        </w:numPr>
        <w:spacing w:after="100" w:line="280"/>
      </w:pPr>
      <w:r>
        <w:rPr>
          <w:rFonts w:ascii="Calibri" w:cs="Calibri" w:eastAsia="Calibri" w:hAnsi="Calibri"/>
          <w:b/>
          <w:bCs/>
          <w:sz w:val="21"/>
          <w:szCs w:val="21"/>
        </w:rPr>
        <w:t xml:space="preserve">Idempotencia en pagos </w:t>
      </w:r>
      <w:r>
        <w:rPr>
          <w:rFonts w:ascii="Calibri" w:cs="Calibri" w:eastAsia="Calibri" w:hAnsi="Calibri"/>
          <w:sz w:val="21"/>
          <w:szCs w:val="21"/>
        </w:rPr>
        <w:t xml:space="preserve">(idempotency keys de Stripe + un identificador propio de orden) para que un reintento de red nunca cobre dos veces ni emita dos boletos.</w:t>
      </w:r>
    </w:p>
    <w:p>
      <w:pPr>
        <w:pStyle w:val="ListParagraph"/>
        <w:numPr>
          <w:ilvl w:val="0"/>
          <w:numId w:val="2"/>
        </w:numPr>
        <w:spacing w:after="100" w:line="280"/>
      </w:pPr>
      <w:r>
        <w:rPr>
          <w:rFonts w:ascii="Calibri" w:cs="Calibri" w:eastAsia="Calibri" w:hAnsi="Calibri"/>
          <w:b/>
          <w:bCs/>
          <w:sz w:val="21"/>
          <w:szCs w:val="21"/>
        </w:rPr>
        <w:t xml:space="preserve">Prevención de fraude en ventas masivas: </w:t>
      </w:r>
      <w:r>
        <w:rPr>
          <w:rFonts w:ascii="Calibri" w:cs="Calibri" w:eastAsia="Calibri" w:hAnsi="Calibri"/>
          <w:sz w:val="21"/>
          <w:szCs w:val="21"/>
        </w:rPr>
        <w:t xml:space="preserve">sala de espera virtual ("virtual queue") para lanzamientos de alta demanda, rate limiting por IP/usuario, CAPTCHA o verificación de "prueba de humano" antes del checkout, límite de boletos por comprador/tarjeta.</w:t>
      </w:r>
    </w:p>
    <w:p>
      <w:pPr>
        <w:pStyle w:val="ListParagraph"/>
        <w:numPr>
          <w:ilvl w:val="0"/>
          <w:numId w:val="2"/>
        </w:numPr>
        <w:spacing w:after="100" w:line="280"/>
      </w:pPr>
      <w:r>
        <w:rPr>
          <w:rFonts w:ascii="Calibri" w:cs="Calibri" w:eastAsia="Calibri" w:hAnsi="Calibri"/>
          <w:b/>
          <w:bCs/>
          <w:sz w:val="21"/>
          <w:szCs w:val="21"/>
        </w:rPr>
        <w:t xml:space="preserve">Gestión de secretos: </w:t>
      </w:r>
      <w:r>
        <w:rPr>
          <w:rFonts w:ascii="Calibri" w:cs="Calibri" w:eastAsia="Calibri" w:hAnsi="Calibri"/>
          <w:sz w:val="21"/>
          <w:szCs w:val="21"/>
        </w:rPr>
        <w:t xml:space="preserve">llaves de Stripe/Wompi/DIAN-API nunca en el frontend; variables de entorno separadas por ambiente (dev/staging/producción) en Vercel y Supabase.</w:t>
      </w:r>
    </w:p>
    <w:p>
      <w:pPr>
        <w:pStyle w:val="ListParagraph"/>
        <w:numPr>
          <w:ilvl w:val="0"/>
          <w:numId w:val="2"/>
        </w:numPr>
        <w:spacing w:after="100" w:line="280"/>
      </w:pPr>
      <w:r>
        <w:rPr>
          <w:rFonts w:ascii="Calibri" w:cs="Calibri" w:eastAsia="Calibri" w:hAnsi="Calibri"/>
          <w:b/>
          <w:bCs/>
          <w:sz w:val="21"/>
          <w:szCs w:val="21"/>
        </w:rPr>
        <w:t xml:space="preserve">Auditoría: </w:t>
      </w:r>
      <w:r>
        <w:rPr>
          <w:rFonts w:ascii="Calibri" w:cs="Calibri" w:eastAsia="Calibri" w:hAnsi="Calibri"/>
          <w:sz w:val="21"/>
          <w:szCs w:val="21"/>
        </w:rPr>
        <w:t xml:space="preserve">log inmutable de cambios de precio, cancelaciones, reembolsos y accesos de admin, con quién y cuándo.</w:t>
      </w:r>
    </w:p>
    <w:p>
      <w:pPr>
        <w:pStyle w:val="ListParagraph"/>
        <w:numPr>
          <w:ilvl w:val="0"/>
          <w:numId w:val="2"/>
        </w:numPr>
        <w:spacing w:after="100" w:line="280"/>
      </w:pPr>
      <w:r>
        <w:rPr>
          <w:rFonts w:ascii="Calibri" w:cs="Calibri" w:eastAsia="Calibri" w:hAnsi="Calibri"/>
          <w:b/>
          <w:bCs/>
          <w:sz w:val="21"/>
          <w:szCs w:val="21"/>
        </w:rPr>
        <w:t xml:space="preserve">Protección de datos personales: </w:t>
      </w:r>
      <w:r>
        <w:rPr>
          <w:rFonts w:ascii="Calibri" w:cs="Calibri" w:eastAsia="Calibri" w:hAnsi="Calibri"/>
          <w:sz w:val="21"/>
          <w:szCs w:val="21"/>
        </w:rPr>
        <w:t xml:space="preserve">cumplimiento con la Ley 1581 de 2012 (Habeas Data) en Colombia y la LFPDPPP en México — política de privacidad, autorización expresa de tratamiento de datos, y minimizar qué se guarda (ej. no almacenar datos completos de tarjeta, eso lo hace Stripe).</w:t>
      </w:r>
    </w:p>
    <w:p>
      <w:pPr>
        <w:pStyle w:val="Heading2"/>
        <w:spacing w:after="160" w:before="320"/>
      </w:pPr>
      <w:r>
        <w:rPr>
          <w:rFonts w:ascii="Calibri" w:cs="Calibri" w:eastAsia="Calibri" w:hAnsi="Calibri"/>
          <w:b/>
          <w:bCs/>
          <w:color w:val="1F2A44"/>
          <w:sz w:val="24"/>
          <w:szCs w:val="24"/>
        </w:rPr>
        <w:t xml:space="preserve">5.3 Escalabilidad ante picos ("on-sale" masivo)</w:t>
      </w:r>
    </w:p>
    <w:p>
      <w:pPr>
        <w:spacing w:after="160" w:line="300"/>
      </w:pPr>
      <w:r>
        <w:rPr>
          <w:rFonts w:ascii="Calibri" w:cs="Calibri" w:eastAsia="Calibri" w:hAnsi="Calibri"/>
          <w:sz w:val="21"/>
          <w:szCs w:val="21"/>
        </w:rPr>
        <w:t xml:space="preserve">El momento de mayor riesgo técnico no es el tráfico diario, es el minuto en que se abre la venta de un evento agotado. Recomendaciones:</w:t>
      </w:r>
    </w:p>
    <w:p>
      <w:pPr>
        <w:pStyle w:val="ListParagraph"/>
        <w:numPr>
          <w:ilvl w:val="0"/>
          <w:numId w:val="2"/>
        </w:numPr>
        <w:spacing w:after="100" w:line="280"/>
      </w:pPr>
      <w:r>
        <w:rPr>
          <w:rFonts w:ascii="Calibri" w:cs="Calibri" w:eastAsia="Calibri" w:hAnsi="Calibri"/>
          <w:sz w:val="21"/>
          <w:szCs w:val="21"/>
        </w:rPr>
        <w:t xml:space="preserve">Página de evento estática/cacheada (ISR en Next.js) para que la carga de miles de personas mirando la página no golpee la base de datos.</w:t>
      </w:r>
    </w:p>
    <w:p>
      <w:pPr>
        <w:pStyle w:val="ListParagraph"/>
        <w:numPr>
          <w:ilvl w:val="0"/>
          <w:numId w:val="2"/>
        </w:numPr>
        <w:spacing w:after="100" w:line="280"/>
      </w:pPr>
      <w:r>
        <w:rPr>
          <w:rFonts w:ascii="Calibri" w:cs="Calibri" w:eastAsia="Calibri" w:hAnsi="Calibri"/>
          <w:sz w:val="21"/>
          <w:szCs w:val="21"/>
        </w:rPr>
        <w:t xml:space="preserve">Sala de espera virtual antes del checkout para convertir un pico instantáneo en una fila controlada.</w:t>
      </w:r>
    </w:p>
    <w:p>
      <w:pPr>
        <w:pStyle w:val="ListParagraph"/>
        <w:numPr>
          <w:ilvl w:val="0"/>
          <w:numId w:val="2"/>
        </w:numPr>
        <w:spacing w:after="100" w:line="280"/>
      </w:pPr>
      <w:r>
        <w:rPr>
          <w:rFonts w:ascii="Calibri" w:cs="Calibri" w:eastAsia="Calibri" w:hAnsi="Calibri"/>
          <w:sz w:val="21"/>
          <w:szCs w:val="21"/>
        </w:rPr>
        <w:t xml:space="preserve">Verificación de disponibilidad y el "hold" del boleto resuelto con una transacción atómica en Postgres, nunca con lecturas y escrituras separadas desde el frontend.</w:t>
      </w:r>
    </w:p>
    <w:p>
      <w:pPr>
        <w:pStyle w:val="ListParagraph"/>
        <w:numPr>
          <w:ilvl w:val="0"/>
          <w:numId w:val="2"/>
        </w:numPr>
        <w:spacing w:after="100" w:line="280"/>
      </w:pPr>
      <w:r>
        <w:rPr>
          <w:rFonts w:ascii="Calibri" w:cs="Calibri" w:eastAsia="Calibri" w:hAnsi="Calibri"/>
          <w:sz w:val="21"/>
          <w:szCs w:val="21"/>
        </w:rPr>
        <w:t xml:space="preserve">Colas para todo lo que no sea confirmar el pago al comprador en el momento (factura, correo de confirmación, payout).</w:t>
      </w:r>
    </w:p>
    <w:p>
      <w:r>
        <w:br w:type="page"/>
      </w:r>
    </w:p>
    <w:p>
      <w:pPr>
        <w:pStyle w:val="Heading1"/>
        <w:pBdr>
          <w:bottom w:val="single" w:color="1F2A44" w:sz="6" w:space="4"/>
        </w:pBdr>
        <w:spacing w:after="240" w:before="480"/>
      </w:pPr>
      <w:r>
        <w:rPr>
          <w:rFonts w:ascii="Calibri" w:cs="Calibri" w:eastAsia="Calibri" w:hAnsi="Calibri"/>
          <w:b/>
          <w:bCs/>
          <w:color w:val="1F2A44"/>
          <w:sz w:val="30"/>
          <w:szCs w:val="30"/>
        </w:rPr>
        <w:t xml:space="preserve">6. Estimado de costos de infraestructura</w:t>
      </w:r>
    </w:p>
    <w:p>
      <w:pPr>
        <w:spacing w:after="160" w:line="300"/>
      </w:pPr>
      <w:r>
        <w:rPr>
          <w:rFonts w:ascii="Calibri" w:cs="Calibri" w:eastAsia="Calibri" w:hAnsi="Calibri"/>
          <w:sz w:val="21"/>
          <w:szCs w:val="21"/>
        </w:rPr>
        <w:t xml:space="preserve">Cifras orientativas en USD/mes, basadas en los planes publicados de cada proveedor a la fecha de este informe (agosto 2026). </w:t>
      </w:r>
      <w:r>
        <w:rPr>
          <w:rFonts w:ascii="Calibri" w:cs="Calibri" w:eastAsia="Calibri" w:hAnsi="Calibri"/>
          <w:b/>
          <w:bCs/>
          <w:sz w:val="21"/>
          <w:szCs w:val="21"/>
        </w:rPr>
        <w:t xml:space="preserve">Verifica el precio vigente antes de presupuestar</w:t>
      </w:r>
      <w:r>
        <w:rPr>
          <w:rFonts w:ascii="Calibri" w:cs="Calibri" w:eastAsia="Calibri" w:hAnsi="Calibri"/>
          <w:sz w:val="21"/>
          <w:szCs w:val="21"/>
        </w:rPr>
        <w:t xml:space="preserve">, ya que estos proveedores ajustan tarifas con frecuencia; no incluyen las comisiones de Stripe/Wompi por transacción (esas son variables, ver sección 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1650"/>
        <w:gridCol w:w="2600"/>
        <w:gridCol w:w="1500"/>
      </w:tblGrid>
      <w:tr>
        <w:trPr>
          <w:tblHeader/>
        </w:trPr>
        <w:tc>
          <w:tcPr>
            <w:tcW w:type="dxa" w:w="19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Etapa</w:t>
            </w:r>
          </w:p>
        </w:tc>
        <w:tc>
          <w:tcPr>
            <w:tcW w:type="dxa" w:w="165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Supabase</w:t>
            </w:r>
          </w:p>
        </w:tc>
        <w:tc>
          <w:tcPr>
            <w:tcW w:type="dxa" w:w="165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Vercel</w:t>
            </w:r>
          </w:p>
        </w:tc>
        <w:tc>
          <w:tcPr>
            <w:tcW w:type="dxa" w:w="26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Otros (facturación, seat map, colas)</w:t>
            </w:r>
          </w:p>
        </w:tc>
        <w:tc>
          <w:tcPr>
            <w:tcW w:type="dxa" w:w="15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Total aprox./mes</w:t>
            </w:r>
          </w:p>
        </w:tc>
      </w:tr>
      <w:tr>
        <w:tc>
          <w:tcPr>
            <w:tcW w:type="dxa" w:w="19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MVP / validación (bajo tráfico)</w:t>
            </w:r>
          </w:p>
        </w:tc>
        <w:tc>
          <w:tcPr>
            <w:tcW w:type="dxa" w:w="165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Free / Pro ~$25</w:t>
            </w:r>
          </w:p>
        </w:tc>
        <w:tc>
          <w:tcPr>
            <w:tcW w:type="dxa" w:w="165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Hobby / Pro ~$20</w:t>
            </w:r>
          </w:p>
        </w:tc>
        <w:tc>
          <w:tcPr>
            <w:tcW w:type="dxa" w:w="2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Factus/Alegra plan inicial ~$20-40; sin seats.io aún</w:t>
            </w:r>
          </w:p>
        </w:tc>
        <w:tc>
          <w:tcPr>
            <w:tcW w:type="dxa" w:w="15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~$65 – $85</w:t>
            </w:r>
          </w:p>
        </w:tc>
      </w:tr>
      <w:tr>
        <w:tc>
          <w:tcPr>
            <w:tcW w:type="dxa" w:w="19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Crecimiento (varios organizadores activos)</w:t>
            </w:r>
          </w:p>
        </w:tc>
        <w:tc>
          <w:tcPr>
            <w:tcW w:type="dxa" w:w="165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Pro ~$25 + add-ons de cómputo/almacenamiento</w:t>
            </w:r>
          </w:p>
        </w:tc>
        <w:tc>
          <w:tcPr>
            <w:tcW w:type="dxa" w:w="165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Pro ~$20 + uso (funciones, ancho de banda)</w:t>
            </w:r>
          </w:p>
        </w:tc>
        <w:tc>
          <w:tcPr>
            <w:tcW w:type="dxa" w:w="2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Facturación multi-país ~$50-150; seats.io plan inicial</w:t>
            </w:r>
          </w:p>
        </w:tc>
        <w:tc>
          <w:tcPr>
            <w:tcW w:type="dxa" w:w="15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~$300 – $700</w:t>
            </w:r>
          </w:p>
        </w:tc>
      </w:tr>
      <w:tr>
        <w:tc>
          <w:tcPr>
            <w:tcW w:type="dxa" w:w="19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Escala (eventos grandes, múltiples países)</w:t>
            </w:r>
          </w:p>
        </w:tc>
        <w:tc>
          <w:tcPr>
            <w:tcW w:type="dxa" w:w="165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Team ~$599 o superior</w:t>
            </w:r>
          </w:p>
        </w:tc>
        <w:tc>
          <w:tcPr>
            <w:tcW w:type="dxa" w:w="165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Enterprise (cotizado)</w:t>
            </w:r>
          </w:p>
        </w:tc>
        <w:tc>
          <w:tcPr>
            <w:tcW w:type="dxa" w:w="2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Facturación a volumen + seats.io a volumen + colas dedicadas</w:t>
            </w:r>
          </w:p>
        </w:tc>
        <w:tc>
          <w:tcPr>
            <w:tcW w:type="dxa" w:w="15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$1,500+ (variable, requiere cotización directa)</w:t>
            </w:r>
          </w:p>
        </w:tc>
      </w:tr>
    </w:tbl>
    <w:p>
      <w:pPr>
        <w:spacing w:after="160" w:line="300"/>
      </w:pPr>
      <w:r>
        <w:rPr>
          <w:rFonts w:ascii="Calibri" w:cs="Calibri" w:eastAsia="Calibri" w:hAnsi="Calibri"/>
          <w:color w:val="666666"/>
          <w:sz w:val="21"/>
          <w:szCs w:val="21"/>
        </w:rPr>
        <w:t xml:space="preserve">A esto se suma el costo no técnico que suele subestimarse: constitución y mantenimiento de la entidad en EE. UU. (formación + agente registrado + contabilidad anual), y el registro/habilitación de facturación electrónica en cada país. Estos son costos recurrentes de cumplimiento, no de infraestructura, y conviene presupuestarlos por separado con tu contador.</w:t>
      </w:r>
    </w:p>
    <w:p>
      <w:r>
        <w:br w:type="page"/>
      </w:r>
    </w:p>
    <w:p>
      <w:pPr>
        <w:pStyle w:val="Heading1"/>
        <w:pBdr>
          <w:bottom w:val="single" w:color="1F2A44" w:sz="6" w:space="4"/>
        </w:pBdr>
        <w:spacing w:after="240" w:before="480"/>
      </w:pPr>
      <w:r>
        <w:rPr>
          <w:rFonts w:ascii="Calibri" w:cs="Calibri" w:eastAsia="Calibri" w:hAnsi="Calibri"/>
          <w:b/>
          <w:bCs/>
          <w:color w:val="1F2A44"/>
          <w:sz w:val="30"/>
          <w:szCs w:val="30"/>
        </w:rPr>
        <w:t xml:space="preserve">7. Riesgos y mitigaciones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4300"/>
      </w:tblGrid>
      <w:tr>
        <w:trPr>
          <w:tblHeader/>
        </w:trPr>
        <w:tc>
          <w:tcPr>
            <w:tcW w:type="dxa" w:w="31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Riesgo</w:t>
            </w:r>
          </w:p>
        </w:tc>
        <w:tc>
          <w:tcPr>
            <w:tcW w:type="dxa" w:w="16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Impacto</w:t>
            </w:r>
          </w:p>
        </w:tc>
        <w:tc>
          <w:tcPr>
            <w:tcW w:type="dxa" w:w="43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Mitigación</w:t>
            </w:r>
          </w:p>
        </w:tc>
      </w:tr>
      <w:tr>
        <w:tc>
          <w:tcPr>
            <w:tcW w:type="dxa" w:w="31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Pagos a organizadores colombianos no automatizados por Connect</w:t>
            </w:r>
          </w:p>
        </w:tc>
        <w:tc>
          <w:tcPr>
            <w:tcW w:type="dxa" w:w="1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Alto — trabajo manual o riesgo de error en dispersión</w:t>
            </w:r>
          </w:p>
        </w:tc>
        <w:tc>
          <w:tcPr>
            <w:tcW w:type="dxa" w:w="43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Automatizar con la API de dispersión de Wompi + ledger interno + reconciliación diaria (ver 2.3).</w:t>
            </w:r>
          </w:p>
        </w:tc>
      </w:tr>
      <w:tr>
        <w:tc>
          <w:tcPr>
            <w:tcW w:type="dxa" w:w="31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Ausencia de PSE reduce conversión en Colombia si solo se usa Stripe</w:t>
            </w:r>
          </w:p>
        </w:tc>
        <w:tc>
          <w:tcPr>
            <w:tcW w:type="dxa" w:w="1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Alto — PSE es el método más usado en e-commerce colombiano</w:t>
            </w:r>
          </w:p>
        </w:tc>
        <w:tc>
          <w:tcPr>
            <w:tcW w:type="dxa" w:w="43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Integrar Wompi/PayU como método adicional de pago desde el lanzamiento en Colombia.</w:t>
            </w:r>
          </w:p>
        </w:tc>
      </w:tr>
      <w:tr>
        <w:tc>
          <w:tcPr>
            <w:tcW w:type="dxa" w:w="31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Facturación electrónica mal habilitada por organizador (NIT/RFC inválido, resolución vencida)</w:t>
            </w:r>
          </w:p>
        </w:tc>
        <w:tc>
          <w:tcPr>
            <w:tcW w:type="dxa" w:w="1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Medio-alto — bloquea la venta o genera facturas inválidas</w:t>
            </w:r>
          </w:p>
        </w:tc>
        <w:tc>
          <w:tcPr>
            <w:tcW w:type="dxa" w:w="43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Validar habilitación DIAN/SAT en el onboarding del organizador, antes de publicar el evento.</w:t>
            </w:r>
          </w:p>
        </w:tc>
      </w:tr>
      <w:tr>
        <w:tc>
          <w:tcPr>
            <w:tcW w:type="dxa" w:w="31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Sobreventa de boletos en un "on-sale" masivo</w:t>
            </w:r>
          </w:p>
        </w:tc>
        <w:tc>
          <w:tcPr>
            <w:tcW w:type="dxa" w:w="1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Alto — daño reputacional y reembolsos forzados</w:t>
            </w:r>
          </w:p>
        </w:tc>
        <w:tc>
          <w:tcPr>
            <w:tcW w:type="dxa" w:w="43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Transacciones atómicas + hold con expiración + pruebas de carga antes de cada lanzamiento grande.</w:t>
            </w:r>
          </w:p>
        </w:tc>
      </w:tr>
      <w:tr>
        <w:tc>
          <w:tcPr>
            <w:tcW w:type="dxa" w:w="31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Bots acaparando boletos (reventa no autorizada)</w:t>
            </w:r>
          </w:p>
        </w:tc>
        <w:tc>
          <w:tcPr>
            <w:tcW w:type="dxa" w:w="1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Medio — mala experiencia para compradores reales</w:t>
            </w:r>
          </w:p>
        </w:tc>
        <w:tc>
          <w:tcPr>
            <w:tcW w:type="dxa" w:w="43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Sala de espera virtual, límite por comprador, CAPTCHA, monitoreo de patrones de compra.</w:t>
            </w:r>
          </w:p>
        </w:tc>
      </w:tr>
      <w:tr>
        <w:tc>
          <w:tcPr>
            <w:tcW w:type="dxa" w:w="31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Fraude con tarjetas (chargebacks)</w:t>
            </w:r>
          </w:p>
        </w:tc>
        <w:tc>
          <w:tcPr>
            <w:tcW w:type="dxa" w:w="1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Medio</w:t>
            </w:r>
          </w:p>
        </w:tc>
        <w:tc>
          <w:tcPr>
            <w:tcW w:type="dxa" w:w="43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Stripe Radar, verificación 3D Secure, límites de velocidad de compra.</w:t>
            </w:r>
          </w:p>
        </w:tc>
      </w:tr>
      <w:tr>
        <w:tc>
          <w:tcPr>
            <w:tcW w:type="dxa" w:w="31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Cambios regulatorios en facturación electrónica (DIAN/SAT actualizan formatos)</w:t>
            </w:r>
          </w:p>
        </w:tc>
        <w:tc>
          <w:tcPr>
            <w:tcW w:type="dxa" w:w="16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Medio — recurrente en LatAm</w:t>
            </w:r>
          </w:p>
        </w:tc>
        <w:tc>
          <w:tcPr>
            <w:tcW w:type="dxa" w:w="43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Delegar el cumplimiento del formato a un proveedor especializado (Factus/Alegra/gigstack) en vez de mantenerlo in-house.</w:t>
            </w:r>
          </w:p>
        </w:tc>
      </w:tr>
      <w:tr>
        <w:tc>
          <w:tcPr>
            <w:tcW w:type="dxa" w:w="31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Estructura legal multi-entidad (EE. UU. + Colombia + México) mal definida desde el inicio</w:t>
            </w:r>
          </w:p>
        </w:tc>
        <w:tc>
          <w:tcPr>
            <w:tcW w:type="dxa" w:w="16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Alto — afecta impuestos, quién factura y quién es el merchant of record</w:t>
            </w:r>
          </w:p>
        </w:tc>
        <w:tc>
          <w:tcPr>
            <w:tcW w:type="dxa" w:w="43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Diseñar la estructura societaria con abogado/contador antes del lanzamiento comercial, no después.</w:t>
            </w:r>
          </w:p>
        </w:tc>
      </w:tr>
    </w:tbl>
    <w:p>
      <w:r>
        <w:br w:type="page"/>
      </w:r>
    </w:p>
    <w:p>
      <w:pPr>
        <w:pStyle w:val="Heading1"/>
        <w:pBdr>
          <w:bottom w:val="single" w:color="1F2A44" w:sz="6" w:space="4"/>
        </w:pBdr>
        <w:spacing w:after="240" w:before="480"/>
      </w:pPr>
      <w:r>
        <w:rPr>
          <w:rFonts w:ascii="Calibri" w:cs="Calibri" w:eastAsia="Calibri" w:hAnsi="Calibri"/>
          <w:b/>
          <w:bCs/>
          <w:color w:val="1F2A44"/>
          <w:sz w:val="30"/>
          <w:szCs w:val="30"/>
        </w:rPr>
        <w:t xml:space="preserve">8. Roadmap recomendado por fases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800"/>
      </w:tblGrid>
      <w:tr>
        <w:trPr>
          <w:tblHeader/>
        </w:trPr>
        <w:tc>
          <w:tcPr>
            <w:tcW w:type="dxa" w:w="19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Fase</w:t>
            </w:r>
          </w:p>
        </w:tc>
        <w:tc>
          <w:tcPr>
            <w:tcW w:type="dxa" w:w="43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Contenido</w:t>
            </w:r>
          </w:p>
        </w:tc>
        <w:tc>
          <w:tcPr>
            <w:tcW w:type="dxa" w:w="2800"/>
            <w:shd w:fill="1F2A44" w:val="clear"/>
            <w:tcMar>
              <w:top w:type="dxa" w:w="100"/>
              <w:left w:type="dxa" w:w="120"/>
              <w:bottom w:type="dxa" w:w="100"/>
              <w:right w:type="dxa" w:w="120"/>
            </w:tcMar>
            <w:vAlign w:val="center"/>
          </w:tcPr>
          <w:p>
            <w:pPr>
              <w:spacing w:line="260"/>
            </w:pPr>
            <w:r>
              <w:rPr>
                <w:rFonts w:ascii="Calibri" w:cs="Calibri" w:eastAsia="Calibri" w:hAnsi="Calibri"/>
                <w:b/>
                <w:bCs/>
                <w:color w:val="FFFFFF"/>
                <w:sz w:val="19"/>
                <w:szCs w:val="19"/>
              </w:rPr>
              <w:t xml:space="preserve">Objetivo</w:t>
            </w:r>
          </w:p>
        </w:tc>
      </w:tr>
      <w:tr>
        <w:tc>
          <w:tcPr>
            <w:tcW w:type="dxa" w:w="19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Fase 0 — Legal y fundacional (previo a código)</w:t>
            </w:r>
          </w:p>
        </w:tc>
        <w:tc>
          <w:tcPr>
            <w:tcW w:type="dxa" w:w="43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Constituir entidad en EE. UU., abrir cuenta Stripe, decidir estructura para Colombia/México (entidad propia vs. organizador como facturador), elegir proveedor de facturación electrónica por país.</w:t>
            </w:r>
          </w:p>
        </w:tc>
        <w:tc>
          <w:tcPr>
            <w:tcW w:type="dxa" w:w="28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Que el negocio pueda cobrar y facturar legalmente antes de invertir en el producto completo.</w:t>
            </w:r>
          </w:p>
        </w:tc>
      </w:tr>
      <w:tr>
        <w:tc>
          <w:tcPr>
            <w:tcW w:type="dxa" w:w="19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Fase 1 — MVP (entrada general, un país)</w:t>
            </w:r>
          </w:p>
        </w:tc>
        <w:tc>
          <w:tcPr>
            <w:tcW w:type="dxa" w:w="43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Catálogo de eventos, checkout con Stripe, perfil de cliente básico, panel admin mínimo para crear eventos, boleto QR simple, facturación electrónica integrada en un país.</w:t>
            </w:r>
          </w:p>
        </w:tc>
        <w:tc>
          <w:tcPr>
            <w:tcW w:type="dxa" w:w="28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Validar el modelo de negocio con el menor alcance técnico posible.</w:t>
            </w:r>
          </w:p>
        </w:tc>
      </w:tr>
      <w:tr>
        <w:tc>
          <w:tcPr>
            <w:tcW w:type="dxa" w:w="19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Fase 2 — Multi-país + CRM completo</w:t>
            </w:r>
          </w:p>
        </w:tc>
        <w:tc>
          <w:tcPr>
            <w:tcW w:type="dxa" w:w="43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Sumar Colombia o México (el que falte), integrar Wompi/PSE, ledger interno + dispersión a organizadores colombianos, CRM de organizadores, reportes de venta, roles y permisos.</w:t>
            </w:r>
          </w:p>
        </w:tc>
        <w:tc>
          <w:tcPr>
            <w:tcW w:type="dxa" w:w="28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Operar como negocio real en los dos mercados objetivo.</w:t>
            </w:r>
          </w:p>
        </w:tc>
      </w:tr>
      <w:tr>
        <w:tc>
          <w:tcPr>
            <w:tcW w:type="dxa" w:w="19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Fase 3 — Asientos numerados + API pública</w:t>
            </w:r>
          </w:p>
        </w:tc>
        <w:tc>
          <w:tcPr>
            <w:tcW w:type="dxa" w:w="43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Integrar/evaluar seats.io, app de validación con modo offline, API pública documentada para socios, sala de espera virtual para on-sales grandes.</w:t>
            </w:r>
          </w:p>
        </w:tc>
        <w:tc>
          <w:tcPr>
            <w:tcW w:type="dxa" w:w="2800"/>
            <w:shd w:fill="F2F2F2"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Igualar la funcionalidad de las referencias (Ticketmaster/TuBoleta) y abrir el canal B2B.</w:t>
            </w:r>
          </w:p>
        </w:tc>
      </w:tr>
      <w:tr>
        <w:tc>
          <w:tcPr>
            <w:tcW w:type="dxa" w:w="19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Fase 4 — Escala y expansión</w:t>
            </w:r>
          </w:p>
        </w:tc>
        <w:tc>
          <w:tcPr>
            <w:tcW w:type="dxa" w:w="43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Optimización de costos de infraestructura, expansión a más países de LatAm, motor propio de asientos si el volumen lo justifica.</w:t>
            </w:r>
          </w:p>
        </w:tc>
        <w:tc>
          <w:tcPr>
            <w:tcW w:type="dxa" w:w="2800"/>
            <w:shd w:fill="FFFFFF" w:val="clear"/>
            <w:tcMar>
              <w:top w:type="dxa" w:w="100"/>
              <w:left w:type="dxa" w:w="120"/>
              <w:bottom w:type="dxa" w:w="100"/>
              <w:right w:type="dxa" w:w="120"/>
            </w:tcMar>
            <w:vAlign w:val="center"/>
          </w:tcPr>
          <w:p>
            <w:pPr>
              <w:spacing w:line="260"/>
            </w:pPr>
            <w:r>
              <w:rPr>
                <w:rFonts w:ascii="Calibri" w:cs="Calibri" w:eastAsia="Calibri" w:hAnsi="Calibri"/>
                <w:b w:val="false"/>
                <w:bCs w:val="false"/>
                <w:color w:val="222222"/>
                <w:sz w:val="19"/>
                <w:szCs w:val="19"/>
              </w:rPr>
              <w:t xml:space="preserve">Crecer con base en datos reales de uso, no en suposiciones.</w:t>
            </w:r>
          </w:p>
        </w:tc>
      </w:tr>
    </w:tbl>
    <w:p>
      <w:r>
        <w:br w:type="page"/>
      </w:r>
    </w:p>
    <w:p>
      <w:pPr>
        <w:pStyle w:val="Heading1"/>
        <w:pBdr>
          <w:bottom w:val="single" w:color="1F2A44" w:sz="6" w:space="4"/>
        </w:pBdr>
        <w:spacing w:after="240" w:before="480"/>
      </w:pPr>
      <w:r>
        <w:rPr>
          <w:rFonts w:ascii="Calibri" w:cs="Calibri" w:eastAsia="Calibri" w:hAnsi="Calibri"/>
          <w:b/>
          <w:bCs/>
          <w:color w:val="1F2A44"/>
          <w:sz w:val="30"/>
          <w:szCs w:val="30"/>
        </w:rPr>
        <w:t xml:space="preserve">9. Veredicto de viabilidad</w:t>
      </w:r>
    </w:p>
    <w:tbl>
      <w:tblPr>
        <w:tblW w:type="pct" w:w="100%"/>
        <w:tblBorders>
          <w:top w:val="single" w:color="1E7145" w:sz="2"/>
          <w:left w:val="single" w:color="1E7145" w:sz="2"/>
          <w:bottom w:val="single" w:color="1E7145" w:sz="2"/>
          <w:right w:val="single" w:color="1E7145" w:sz="2"/>
          <w:insideH w:val="none"/>
          <w:insideV w:val="none"/>
        </w:tblBorders>
      </w:tblPr>
      <w:tblGrid>
        <w:gridCol w:w="100"/>
      </w:tblGrid>
      <w:tr>
        <w:tc>
          <w:tcPr>
            <w:shd w:fill="1E7145" w:val="clear"/>
            <w:tcMar>
              <w:top w:type="dxa" w:w="160"/>
              <w:left w:type="dxa" w:w="200"/>
              <w:bottom w:type="dxa" w:w="160"/>
              <w:right w:type="dxa" w:w="200"/>
            </w:tcMar>
          </w:tcPr>
          <w:p>
            <w:pPr>
              <w:spacing w:after="80"/>
            </w:pPr>
            <w:r>
              <w:rPr>
                <w:rFonts w:ascii="Calibri" w:cs="Calibri" w:eastAsia="Calibri" w:hAnsi="Calibri"/>
                <w:b/>
                <w:bCs/>
                <w:color w:val="FFFFFF"/>
                <w:sz w:val="22"/>
                <w:szCs w:val="22"/>
              </w:rPr>
              <w:t xml:space="preserve">Es viable</w:t>
            </w:r>
          </w:p>
          <w:p>
            <w:pPr>
              <w:spacing w:after="60" w:line="280"/>
            </w:pPr>
            <w:r>
              <w:rPr>
                <w:rFonts w:ascii="Calibri" w:cs="Calibri" w:eastAsia="Calibri" w:hAnsi="Calibri"/>
                <w:color w:val="FFFFFF"/>
                <w:sz w:val="20"/>
                <w:szCs w:val="20"/>
              </w:rPr>
              <w:t xml:space="preserve">Next.js + Supabase + Vercel es una base técnica sólida y probada para una ticketera transaccional con API pública, perfil de cliente y panel admin/CRM. No hay ningún requisito tuyo que obligue a descartar este stack.</w:t>
            </w:r>
          </w:p>
        </w:tc>
      </w:tr>
    </w:tbl>
    <w:p>
      <w:pPr>
        <w:spacing w:after="160" w:line="300"/>
      </w:pPr>
      <w:r>
        <w:rPr>
          <w:rFonts w:ascii="Calibri" w:cs="Calibri" w:eastAsia="Calibri" w:hAnsi="Calibri"/>
          <w:sz w:val="21"/>
          <w:szCs w:val="21"/>
        </w:rPr>
        <w:t xml:space="preserve">La viabilidad no depende de la tecnología web, sino de resolver bien tres piezas que están fuera del código de la aplicación en sí:</w:t>
      </w:r>
    </w:p>
    <w:p>
      <w:pPr>
        <w:pStyle w:val="ListParagraph"/>
        <w:numPr>
          <w:ilvl w:val="0"/>
          <w:numId w:val="2"/>
        </w:numPr>
        <w:spacing w:after="100" w:line="280"/>
      </w:pPr>
      <w:r>
        <w:rPr>
          <w:rFonts w:ascii="Calibri" w:cs="Calibri" w:eastAsia="Calibri" w:hAnsi="Calibri"/>
          <w:b/>
          <w:bCs/>
          <w:sz w:val="21"/>
          <w:szCs w:val="21"/>
        </w:rPr>
        <w:t xml:space="preserve">1. Estructura legal/financiera. </w:t>
      </w:r>
      <w:r>
        <w:rPr>
          <w:rFonts w:ascii="Calibri" w:cs="Calibri" w:eastAsia="Calibri" w:hAnsi="Calibri"/>
          <w:sz w:val="21"/>
          <w:szCs w:val="21"/>
        </w:rPr>
        <w:t xml:space="preserve">Entidad en EE. UU. para Stripe, y una decisión clara de cómo se factura en Colombia y México (organizador vs. plataforma) antes de escribir el checkout.</w:t>
      </w:r>
    </w:p>
    <w:p>
      <w:pPr>
        <w:pStyle w:val="ListParagraph"/>
        <w:numPr>
          <w:ilvl w:val="0"/>
          <w:numId w:val="2"/>
        </w:numPr>
        <w:spacing w:after="100" w:line="280"/>
      </w:pPr>
      <w:r>
        <w:rPr>
          <w:rFonts w:ascii="Calibri" w:cs="Calibri" w:eastAsia="Calibri" w:hAnsi="Calibri"/>
          <w:b/>
          <w:bCs/>
          <w:sz w:val="21"/>
          <w:szCs w:val="21"/>
        </w:rPr>
        <w:t xml:space="preserve">2. Riel de pagos híbrido. </w:t>
      </w:r>
      <w:r>
        <w:rPr>
          <w:rFonts w:ascii="Calibri" w:cs="Calibri" w:eastAsia="Calibri" w:hAnsi="Calibri"/>
          <w:sz w:val="21"/>
          <w:szCs w:val="21"/>
        </w:rPr>
        <w:t xml:space="preserve">Stripe para cobro global + Connect donde el país lo permite (México), y Wompi (u otra pasarela colombiana) tanto para PSE como para dispersión a organizadores colombianos.</w:t>
      </w:r>
    </w:p>
    <w:p>
      <w:pPr>
        <w:pStyle w:val="ListParagraph"/>
        <w:numPr>
          <w:ilvl w:val="0"/>
          <w:numId w:val="2"/>
        </w:numPr>
        <w:spacing w:after="100" w:line="280"/>
      </w:pPr>
      <w:r>
        <w:rPr>
          <w:rFonts w:ascii="Calibri" w:cs="Calibri" w:eastAsia="Calibri" w:hAnsi="Calibri"/>
          <w:b/>
          <w:bCs/>
          <w:sz w:val="21"/>
          <w:szCs w:val="21"/>
        </w:rPr>
        <w:t xml:space="preserve">3. Decisión de construcción vs. compra en asientos numerados. </w:t>
      </w:r>
      <w:r>
        <w:rPr>
          <w:rFonts w:ascii="Calibri" w:cs="Calibri" w:eastAsia="Calibri" w:hAnsi="Calibri"/>
          <w:sz w:val="21"/>
          <w:szCs w:val="21"/>
        </w:rPr>
        <w:t xml:space="preserve">Construirlo 100% a la medida desde la v1 es el mayor riesgo de cronograma de todo el proyecto; evaluar seats.io reduce ese riesgo drásticamente.</w:t>
      </w:r>
    </w:p>
    <w:p>
      <w:pPr>
        <w:spacing w:after="160" w:line="300"/>
      </w:pPr>
      <w:r>
        <w:rPr>
          <w:rFonts w:ascii="Calibri" w:cs="Calibri" w:eastAsia="Calibri" w:hAnsi="Calibri"/>
          <w:sz w:val="21"/>
          <w:szCs w:val="21"/>
        </w:rPr>
        <w:t xml:space="preserve">Con esas tres piezas resueltas en la Fase 0 y Fase 1 del roadmap, el resto del producto (catálogo, checkout, perfil de cliente, panel admin, API) es ingeniería de software estándar, sin obstáculos técnicos que lo hagan inviable.</w:t>
      </w:r>
    </w:p>
    <w:p>
      <w:r>
        <w:br w:type="page"/>
      </w:r>
    </w:p>
    <w:p>
      <w:pPr>
        <w:pStyle w:val="Heading1"/>
        <w:pBdr>
          <w:bottom w:val="single" w:color="1F2A44" w:sz="6" w:space="4"/>
        </w:pBdr>
        <w:spacing w:after="240" w:before="480"/>
      </w:pPr>
      <w:r>
        <w:rPr>
          <w:rFonts w:ascii="Calibri" w:cs="Calibri" w:eastAsia="Calibri" w:hAnsi="Calibri"/>
          <w:b/>
          <w:bCs/>
          <w:color w:val="1F2A44"/>
          <w:sz w:val="30"/>
          <w:szCs w:val="30"/>
        </w:rPr>
        <w:t xml:space="preserve">Fuentes consultadas</w:t>
      </w:r>
    </w:p>
    <w:p>
      <w:pPr>
        <w:pStyle w:val="ListParagraph"/>
        <w:numPr>
          <w:ilvl w:val="0"/>
          <w:numId w:val="2"/>
        </w:numPr>
        <w:spacing w:after="100" w:line="280"/>
      </w:pPr>
      <w:r>
        <w:rPr>
          <w:rFonts w:ascii="Calibri" w:cs="Calibri" w:eastAsia="Calibri" w:hAnsi="Calibri"/>
          <w:sz w:val="21"/>
          <w:szCs w:val="21"/>
        </w:rPr>
        <w:t xml:space="preserve">Stripe — Disponibilidad global de países (stripe.com/global)</w:t>
      </w:r>
    </w:p>
    <w:p>
      <w:pPr>
        <w:pStyle w:val="ListParagraph"/>
        <w:numPr>
          <w:ilvl w:val="0"/>
          <w:numId w:val="2"/>
        </w:numPr>
        <w:spacing w:after="100" w:line="280"/>
      </w:pPr>
      <w:r>
        <w:rPr>
          <w:rFonts w:ascii="Calibri" w:cs="Calibri" w:eastAsia="Calibri" w:hAnsi="Calibri"/>
          <w:sz w:val="21"/>
          <w:szCs w:val="21"/>
        </w:rPr>
        <w:t xml:space="preserve">Stripe Connect — Pricing (stripe.com/connect/pricing)</w:t>
      </w:r>
    </w:p>
    <w:p>
      <w:pPr>
        <w:pStyle w:val="ListParagraph"/>
        <w:numPr>
          <w:ilvl w:val="0"/>
          <w:numId w:val="2"/>
        </w:numPr>
        <w:spacing w:after="100" w:line="280"/>
      </w:pPr>
      <w:r>
        <w:rPr>
          <w:rFonts w:ascii="Calibri" w:cs="Calibri" w:eastAsia="Calibri" w:hAnsi="Calibri"/>
          <w:sz w:val="21"/>
          <w:szCs w:val="21"/>
        </w:rPr>
        <w:t xml:space="preserve">Stripe — Payouts to connected accounts (docs.stripe.com/connect/payouts-connected-accounts)</w:t>
      </w:r>
    </w:p>
    <w:p>
      <w:pPr>
        <w:pStyle w:val="ListParagraph"/>
        <w:numPr>
          <w:ilvl w:val="0"/>
          <w:numId w:val="2"/>
        </w:numPr>
        <w:spacing w:after="100" w:line="280"/>
      </w:pPr>
      <w:r>
        <w:rPr>
          <w:rFonts w:ascii="Calibri" w:cs="Calibri" w:eastAsia="Calibri" w:hAnsi="Calibri"/>
          <w:sz w:val="21"/>
          <w:szCs w:val="21"/>
        </w:rPr>
        <w:t xml:space="preserve">BTO Digital — "Stripe en Colombia 2026: Cómo Activarlo y Alternativas" (btodigital.com)</w:t>
      </w:r>
    </w:p>
    <w:p>
      <w:pPr>
        <w:pStyle w:val="ListParagraph"/>
        <w:numPr>
          <w:ilvl w:val="0"/>
          <w:numId w:val="2"/>
        </w:numPr>
        <w:spacing w:after="100" w:line="280"/>
      </w:pPr>
      <w:r>
        <w:rPr>
          <w:rFonts w:ascii="Calibri" w:cs="Calibri" w:eastAsia="Calibri" w:hAnsi="Calibri"/>
          <w:sz w:val="21"/>
          <w:szCs w:val="21"/>
        </w:rPr>
        <w:t xml:space="preserve">Wompi — Introducción a Pagos a Terceros / dispersión (docs.wompi.co)</w:t>
      </w:r>
    </w:p>
    <w:p>
      <w:pPr>
        <w:pStyle w:val="ListParagraph"/>
        <w:numPr>
          <w:ilvl w:val="0"/>
          <w:numId w:val="2"/>
        </w:numPr>
        <w:spacing w:after="100" w:line="280"/>
      </w:pPr>
      <w:r>
        <w:rPr>
          <w:rFonts w:ascii="Calibri" w:cs="Calibri" w:eastAsia="Calibri" w:hAnsi="Calibri"/>
          <w:sz w:val="21"/>
          <w:szCs w:val="21"/>
        </w:rPr>
        <w:t xml:space="preserve">Supabase — Realtime Benchmarks (supabase.com/docs/guides/realtime/benchmarks)</w:t>
      </w:r>
    </w:p>
    <w:p>
      <w:pPr>
        <w:pStyle w:val="ListParagraph"/>
        <w:numPr>
          <w:ilvl w:val="0"/>
          <w:numId w:val="2"/>
        </w:numPr>
        <w:spacing w:after="100" w:line="280"/>
      </w:pPr>
      <w:r>
        <w:rPr>
          <w:rFonts w:ascii="Calibri" w:cs="Calibri" w:eastAsia="Calibri" w:hAnsi="Calibri"/>
          <w:sz w:val="21"/>
          <w:szCs w:val="21"/>
        </w:rPr>
        <w:t xml:space="preserve">Supabase — Row Level Security (supabase.com/docs/guides/database/postgres/row-level-security)</w:t>
      </w:r>
    </w:p>
    <w:p>
      <w:pPr>
        <w:pStyle w:val="ListParagraph"/>
        <w:numPr>
          <w:ilvl w:val="0"/>
          <w:numId w:val="2"/>
        </w:numPr>
        <w:spacing w:after="100" w:line="280"/>
      </w:pPr>
      <w:r>
        <w:rPr>
          <w:rFonts w:ascii="Calibri" w:cs="Calibri" w:eastAsia="Calibri" w:hAnsi="Calibri"/>
          <w:sz w:val="21"/>
          <w:szCs w:val="21"/>
        </w:rPr>
        <w:t xml:space="preserve">Vercel — Guía sobre timeouts de funciones serverless (vercel.com/kb)</w:t>
      </w:r>
    </w:p>
    <w:p>
      <w:pPr>
        <w:pStyle w:val="ListParagraph"/>
        <w:numPr>
          <w:ilvl w:val="0"/>
          <w:numId w:val="2"/>
        </w:numPr>
        <w:spacing w:after="100" w:line="280"/>
      </w:pPr>
      <w:r>
        <w:rPr>
          <w:rFonts w:ascii="Calibri" w:cs="Calibri" w:eastAsia="Calibri" w:hAnsi="Calibri"/>
          <w:sz w:val="21"/>
          <w:szCs w:val="21"/>
        </w:rPr>
        <w:t xml:space="preserve">Vercel — Changelog: funciones serverless hasta 5 minutos (vercel.com/changelog)</w:t>
      </w:r>
    </w:p>
    <w:p>
      <w:pPr>
        <w:pStyle w:val="ListParagraph"/>
        <w:numPr>
          <w:ilvl w:val="0"/>
          <w:numId w:val="2"/>
        </w:numPr>
        <w:spacing w:after="100" w:line="280"/>
      </w:pPr>
      <w:r>
        <w:rPr>
          <w:rFonts w:ascii="Calibri" w:cs="Calibri" w:eastAsia="Calibri" w:hAnsi="Calibri"/>
          <w:sz w:val="21"/>
          <w:szCs w:val="21"/>
        </w:rPr>
        <w:t xml:space="preserve">Factus API — Documentación para desarrolladores (developers.factus.com.co)</w:t>
      </w:r>
    </w:p>
    <w:p>
      <w:pPr>
        <w:pStyle w:val="ListParagraph"/>
        <w:numPr>
          <w:ilvl w:val="0"/>
          <w:numId w:val="2"/>
        </w:numPr>
        <w:spacing w:after="100" w:line="280"/>
      </w:pPr>
      <w:r>
        <w:rPr>
          <w:rFonts w:ascii="Calibri" w:cs="Calibri" w:eastAsia="Calibri" w:hAnsi="Calibri"/>
          <w:sz w:val="21"/>
          <w:szCs w:val="21"/>
        </w:rPr>
        <w:t xml:space="preserve">Dataico — Guía de factura electrónica en Colombia / DIAN (dataico.com)</w:t>
      </w:r>
    </w:p>
    <w:p>
      <w:pPr>
        <w:pStyle w:val="ListParagraph"/>
        <w:numPr>
          <w:ilvl w:val="0"/>
          <w:numId w:val="2"/>
        </w:numPr>
        <w:spacing w:after="100" w:line="280"/>
      </w:pPr>
      <w:r>
        <w:rPr>
          <w:rFonts w:ascii="Calibri" w:cs="Calibri" w:eastAsia="Calibri" w:hAnsi="Calibri"/>
          <w:sz w:val="21"/>
          <w:szCs w:val="21"/>
        </w:rPr>
        <w:t xml:space="preserve">gigstack — Guía API de facturación SAT / CFDI 4.0 (blog.gigstack.pro)</w:t>
      </w:r>
    </w:p>
    <w:p>
      <w:pPr>
        <w:pStyle w:val="ListParagraph"/>
        <w:numPr>
          <w:ilvl w:val="0"/>
          <w:numId w:val="2"/>
        </w:numPr>
        <w:spacing w:after="100" w:line="280"/>
      </w:pPr>
      <w:r>
        <w:rPr>
          <w:rFonts w:ascii="Calibri" w:cs="Calibri" w:eastAsia="Calibri" w:hAnsi="Calibri"/>
          <w:sz w:val="21"/>
          <w:szCs w:val="21"/>
        </w:rPr>
        <w:t xml:space="preserve">Seats.io — Features (seats.io/features)</w:t>
      </w:r>
    </w:p>
    <w:p>
      <w:pPr>
        <w:pStyle w:val="ListParagraph"/>
        <w:numPr>
          <w:ilvl w:val="0"/>
          <w:numId w:val="2"/>
        </w:numPr>
        <w:spacing w:after="100" w:line="280"/>
      </w:pPr>
      <w:r>
        <w:rPr>
          <w:rFonts w:ascii="Calibri" w:cs="Calibri" w:eastAsia="Calibri" w:hAnsi="Calibri"/>
          <w:sz w:val="21"/>
          <w:szCs w:val="21"/>
        </w:rPr>
        <w:t xml:space="preserve">Sitios de referencia revisados públicamente: tuboleta.com, latiquetera.com, ticketmaster.com.mx</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Ticketera — Informe de viabilidad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2026-08-31T23:50:43.723Z</dcterms:created>
  <dcterms:modified xsi:type="dcterms:W3CDTF">2026-08-31T23:50:43.724Z</dcterms:modified>
</cp:coreProperties>
</file>

<file path=docProps/custom.xml><?xml version="1.0" encoding="utf-8"?>
<Properties xmlns="http://schemas.openxmlformats.org/officeDocument/2006/custom-properties" xmlns:vt="http://schemas.openxmlformats.org/officeDocument/2006/docPropsVTypes"/>
</file>