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E5" w:rsidRDefault="00254FE5">
      <w:r>
        <w:t xml:space="preserve">CURRENT EVIDENCE OBJECTS AVAILABLE FOR USE IN MODEL </w:t>
      </w:r>
    </w:p>
    <w:p w:rsidR="00254FE5" w:rsidRDefault="00254FE5"/>
    <w:p w:rsidR="00254FE5" w:rsidRDefault="00254FE5">
      <w:bookmarkStart w:id="0" w:name="_GoBack"/>
      <w:r>
        <w:t>____________________________________________</w:t>
      </w:r>
    </w:p>
    <w:p w:rsidR="00254FE5" w:rsidRDefault="00254FE5"/>
    <w:p w:rsidR="00254FE5" w:rsidRDefault="00254FE5">
      <w:r>
        <w:t>Title: Early progression proportion, Trauer et al. 2016</w:t>
      </w:r>
    </w:p>
    <w:p w:rsidR="00254FE5" w:rsidRDefault="00254FE5"/>
    <w:p w:rsidR="00254FE5" w:rsidRDefault="00254FE5">
      <w:r>
        <w:t>Point estimate: 0.125</w:t>
      </w:r>
    </w:p>
    <w:p w:rsidR="00254FE5" w:rsidRDefault="00254FE5"/>
    <w:p w:rsidR="00254FE5" w:rsidRDefault="00254FE5">
      <w:r>
        <w:t>Confidence interval: (0.096 - 0.154)</w:t>
      </w:r>
    </w:p>
    <w:p w:rsidR="00254FE5" w:rsidRDefault="00254FE5"/>
    <w:p w:rsidR="00254FE5" w:rsidRDefault="00254FE5">
      <w:r>
        <w:t xml:space="preserve">Explanation: Results describe 12.5% one year risk accruing over first 227 days. Confidence interval currently estimated. 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children, Trauer et al. 2016</w:t>
      </w:r>
    </w:p>
    <w:p w:rsidR="00254FE5" w:rsidRDefault="00254FE5"/>
    <w:p w:rsidR="00254FE5" w:rsidRDefault="00254FE5">
      <w:r>
        <w:t>Point estimate: 0.42</w:t>
      </w:r>
    </w:p>
    <w:p w:rsidR="00254FE5" w:rsidRDefault="00254FE5"/>
    <w:p w:rsidR="00254FE5" w:rsidRDefault="00254FE5">
      <w:r>
        <w:t>Confidence interval: (0.308 - 0.532)</w:t>
      </w:r>
    </w:p>
    <w:p w:rsidR="00254FE5" w:rsidRDefault="00254FE5"/>
    <w:p w:rsidR="00254FE5" w:rsidRDefault="00254FE5">
      <w:r>
        <w:t>Explanation: Estimated pooled results for both paediatric groups.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adults, Trauer et al. 2016</w:t>
      </w:r>
    </w:p>
    <w:p w:rsidR="00254FE5" w:rsidRDefault="00254FE5"/>
    <w:p w:rsidR="00254FE5" w:rsidRDefault="00254FE5">
      <w:r>
        <w:t>Point estimate: 0.024</w:t>
      </w:r>
    </w:p>
    <w:p w:rsidR="00254FE5" w:rsidRDefault="00254FE5"/>
    <w:p w:rsidR="00254FE5" w:rsidRDefault="00254FE5">
      <w:r>
        <w:t>Confidence interval: (0.009 - 0.0393)</w:t>
      </w:r>
    </w:p>
    <w:p w:rsidR="00254FE5" w:rsidRDefault="00254FE5"/>
    <w:p w:rsidR="00254FE5" w:rsidRDefault="00254FE5">
      <w:r>
        <w:t>Explanation: See comments for all-age evidence object.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proportion, Sloot et al. 2014</w:t>
      </w:r>
    </w:p>
    <w:p w:rsidR="00254FE5" w:rsidRDefault="00254FE5"/>
    <w:p w:rsidR="00254FE5" w:rsidRDefault="00254FE5">
      <w:r>
        <w:t>Point estimate: 0.095</w:t>
      </w:r>
    </w:p>
    <w:p w:rsidR="00254FE5" w:rsidRDefault="00254FE5"/>
    <w:p w:rsidR="00254FE5" w:rsidRDefault="00254FE5">
      <w:r>
        <w:t>Confidence interval: (0.074 - 0.116)</w:t>
      </w:r>
    </w:p>
    <w:p w:rsidR="00254FE5" w:rsidRDefault="00254FE5"/>
    <w:p w:rsidR="00254FE5" w:rsidRDefault="00254FE5">
      <w:r>
        <w:t>Explanation: From Figure 2, approximately 9 to 10% of the 739 contacts with evidence of infection developed active TB in the early high risk period, which lasted for around two years. Confidence interval estimated from graphs.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children, Sloot et al. 2014</w:t>
      </w:r>
    </w:p>
    <w:p w:rsidR="00254FE5" w:rsidRDefault="00254FE5"/>
    <w:p w:rsidR="00254FE5" w:rsidRDefault="00254FE5">
      <w:r>
        <w:t>Point estimate: 0.26</w:t>
      </w:r>
    </w:p>
    <w:p w:rsidR="00254FE5" w:rsidRDefault="00254FE5"/>
    <w:p w:rsidR="00254FE5" w:rsidRDefault="00254FE5">
      <w:r>
        <w:t>Confidence interval: (0.203 - 0.317)</w:t>
      </w:r>
    </w:p>
    <w:p w:rsidR="00254FE5" w:rsidRDefault="00254FE5"/>
    <w:p w:rsidR="00254FE5" w:rsidRDefault="00254FE5">
      <w:r>
        <w:t>Explanation: Estimated from Figure 3.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adults, Sloot et al. 2014</w:t>
      </w:r>
    </w:p>
    <w:p w:rsidR="00254FE5" w:rsidRDefault="00254FE5"/>
    <w:p w:rsidR="00254FE5" w:rsidRDefault="00254FE5">
      <w:r>
        <w:t>Point estimate: 0.07</w:t>
      </w:r>
    </w:p>
    <w:p w:rsidR="00254FE5" w:rsidRDefault="00254FE5"/>
    <w:p w:rsidR="00254FE5" w:rsidRDefault="00254FE5">
      <w:r>
        <w:t>Confidence interval: (0.055 - 0.085)</w:t>
      </w:r>
    </w:p>
    <w:p w:rsidR="00254FE5" w:rsidRDefault="00254FE5"/>
    <w:p w:rsidR="00254FE5" w:rsidRDefault="00254FE5">
      <w:r>
        <w:t>Explanation: Estimated from Figure 3.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proportion, Diel et al. 2011</w:t>
      </w:r>
    </w:p>
    <w:p w:rsidR="00254FE5" w:rsidRDefault="00254FE5"/>
    <w:p w:rsidR="00254FE5" w:rsidRDefault="00254FE5">
      <w:r>
        <w:t>Point estimate: 0.12925170068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Table 4: 19 of 147 untreated QFT-positive individuals got TBover two years of follow up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duration, Trauer et al. 2016</w:t>
      </w:r>
    </w:p>
    <w:p w:rsidR="00254FE5" w:rsidRDefault="00254FE5"/>
    <w:p w:rsidR="00254FE5" w:rsidRDefault="00254FE5">
      <w:r>
        <w:t>Point estimate: 0.416666666667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children, Trauer et al. 2016</w:t>
      </w:r>
    </w:p>
    <w:p w:rsidR="00254FE5" w:rsidRDefault="00254FE5"/>
    <w:p w:rsidR="00254FE5" w:rsidRDefault="00254FE5">
      <w:r>
        <w:t>Point estimate: 0.397260273973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adults, Trauer et al. 2016</w:t>
      </w:r>
    </w:p>
    <w:p w:rsidR="00254FE5" w:rsidRDefault="00254FE5"/>
    <w:p w:rsidR="00254FE5" w:rsidRDefault="00254FE5">
      <w:r>
        <w:t>Point estimate: 0.621917808219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duration, Sloot et al. 2014</w:t>
      </w:r>
    </w:p>
    <w:p w:rsidR="00254FE5" w:rsidRDefault="00254FE5"/>
    <w:p w:rsidR="00254FE5" w:rsidRDefault="00254FE5">
      <w:r>
        <w:t>Point estimate: 1.8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children, Sloot et al. 2014</w:t>
      </w:r>
    </w:p>
    <w:p w:rsidR="00254FE5" w:rsidRDefault="00254FE5"/>
    <w:p w:rsidR="00254FE5" w:rsidRDefault="00254FE5">
      <w:r>
        <w:t>Point estimate: 0.6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adults, Sloot et al. 2014</w:t>
      </w:r>
    </w:p>
    <w:p w:rsidR="00254FE5" w:rsidRDefault="00254FE5"/>
    <w:p w:rsidR="00254FE5" w:rsidRDefault="00254FE5">
      <w:r>
        <w:t>Point estimate: 1.8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Late progression rate, Horsburgh et al. 2010</w:t>
      </w:r>
    </w:p>
    <w:p w:rsidR="00254FE5" w:rsidRDefault="00254FE5"/>
    <w:p w:rsidR="00254FE5" w:rsidRDefault="00254FE5">
      <w:r>
        <w:t>Point estimate: 0.00058</w:t>
      </w:r>
    </w:p>
    <w:p w:rsidR="00254FE5" w:rsidRDefault="00254FE5"/>
    <w:p w:rsidR="00254FE5" w:rsidRDefault="00254FE5">
      <w:r>
        <w:t>Confidence interval: (0.00038 - 0.00089)</w:t>
      </w:r>
    </w:p>
    <w:p w:rsidR="00254FE5" w:rsidRDefault="00254FE5"/>
    <w:p w:rsidR="00254FE5" w:rsidRDefault="00254FE5">
      <w:r>
        <w:t>Explanation: Main finding is rate of reactivation of 0.04 per year from a community based estimate of rate of reactivation from the US.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Relative risk of TB, Colditz et al. 1994</w:t>
      </w:r>
    </w:p>
    <w:p w:rsidR="00254FE5" w:rsidRDefault="00254FE5"/>
    <w:p w:rsidR="00254FE5" w:rsidRDefault="00254FE5">
      <w:r>
        <w:t>Point estimate: 0.49</w:t>
      </w:r>
    </w:p>
    <w:p w:rsidR="00254FE5" w:rsidRDefault="00254FE5"/>
    <w:p w:rsidR="00254FE5" w:rsidRDefault="00254FE5">
      <w:r>
        <w:t>Confidence interval: (0.34 - 0.7)</w:t>
      </w:r>
    </w:p>
    <w:p w:rsidR="00254FE5" w:rsidRDefault="00254FE5"/>
    <w:p w:rsidR="00254FE5" w:rsidRDefault="00254FE5">
      <w:r>
        <w:t xml:space="preserve">Explanation: Estimate of relative risk of TB in BCG vaccinated. 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Untreated duration, Tiemersma et al. 2011</w:t>
      </w:r>
    </w:p>
    <w:p w:rsidR="00254FE5" w:rsidRDefault="00254FE5"/>
    <w:p w:rsidR="00254FE5" w:rsidRDefault="00254FE5">
      <w:r>
        <w:t>Point estimate: 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Estimate from pre-chemotherapy literature of three years untreated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Untreated case fatality, Tiemersma et al. 2011</w:t>
      </w:r>
    </w:p>
    <w:p w:rsidR="00254FE5" w:rsidRDefault="00254FE5"/>
    <w:p w:rsidR="00254FE5" w:rsidRDefault="00254FE5">
      <w:r>
        <w:t>Point estimate: 0.7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70% case fatality for smear-positive patients from Review of the pre-chemotherapy literature.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Time to complete treatment for DS-TB based on WHO guidelines</w:t>
      </w:r>
    </w:p>
    <w:p w:rsidR="00254FE5" w:rsidRDefault="00254FE5"/>
    <w:p w:rsidR="00254FE5" w:rsidRDefault="00254FE5">
      <w:r>
        <w:t>Point estimate: 6.0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Based on recommended treatment durations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Time to complete treatment for DS-TB based on WHO guidelines</w:t>
      </w:r>
    </w:p>
    <w:p w:rsidR="00254FE5" w:rsidRDefault="00254FE5"/>
    <w:p w:rsidR="00254FE5" w:rsidRDefault="00254FE5">
      <w:r>
        <w:t>Point estimate: 20.0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Based on recommended treatment durations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for smear negatives compared to smear positives, Tostmann et al. 2008</w:t>
      </w:r>
    </w:p>
    <w:p w:rsidR="00254FE5" w:rsidRDefault="00254FE5"/>
    <w:p w:rsidR="00254FE5" w:rsidRDefault="00254FE5">
      <w:r>
        <w:t>Point estimate: 0.24</w:t>
      </w:r>
    </w:p>
    <w:p w:rsidR="00254FE5" w:rsidRDefault="00254FE5"/>
    <w:p w:rsidR="00254FE5" w:rsidRDefault="00254FE5">
      <w:r>
        <w:t>Confidence interval: (0.2 - 0.3)</w:t>
      </w:r>
    </w:p>
    <w:p w:rsidR="00254FE5" w:rsidRDefault="00254FE5"/>
    <w:p w:rsidR="00254FE5" w:rsidRDefault="00254FE5">
      <w:r>
        <w:t>Explanation: Well constructed study looking at exactly this parameter and employing genotypic confirmation of transmission. (Possible ref for extrapulmonary not being transmissible.)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of treated patients compared to untreated, Dhamardhikari et al. 2014</w:t>
      </w:r>
    </w:p>
    <w:p w:rsidR="00254FE5" w:rsidRDefault="00254FE5"/>
    <w:p w:rsidR="00254FE5" w:rsidRDefault="00254FE5">
      <w:r>
        <w:t>Point estimate: 0.02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50 times greater rate of guinea pig TST conversion for untreated patients than treated (DS-TB)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of treated patients compared to untreated, Dhamardhikari et al. 2014</w:t>
      </w:r>
    </w:p>
    <w:p w:rsidR="00254FE5" w:rsidRDefault="00254FE5"/>
    <w:p w:rsidR="00254FE5" w:rsidRDefault="00254FE5">
      <w:r>
        <w:t>Point estimate: 0.0714285714286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Sixfold greater rate of guinea pig TST conversion for untreated patients than treated (MDR-TB)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Proportion of defaults amplifying, Bonnet et al. 2011</w:t>
      </w:r>
    </w:p>
    <w:p w:rsidR="00254FE5" w:rsidRDefault="00254FE5"/>
    <w:p w:rsidR="00254FE5" w:rsidRDefault="00254FE5">
      <w:r>
        <w:t>Point estimate: 0.133333333333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Among 15 non-MDR-TB patients with negative treatment outcomes, two amplified to MDR-TB.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Proportionately greater rate of negative outcomes in retreatment cases compared to new cases, for appropriately treated DS-TB patients, Espinal et al. 2000</w:t>
      </w:r>
    </w:p>
    <w:p w:rsidR="00254FE5" w:rsidRDefault="00254FE5"/>
    <w:p w:rsidR="00254FE5" w:rsidRDefault="00254FE5">
      <w:r>
        <w:t>Point estimate: 2.2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85% treatment success in pan-susceptible new TB patients, compared to 67% success in pan-susceptible treatment patients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Treatment success rate for inappropriately treated new MDR cases, Espinal et al. 2000</w:t>
      </w:r>
    </w:p>
    <w:p w:rsidR="00254FE5" w:rsidRDefault="00254FE5"/>
    <w:p w:rsidR="00254FE5" w:rsidRDefault="00254FE5">
      <w:r>
        <w:t>Point estimate: 0.52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52% treatment success in new MDR-TB cases treated with a standard first line regimen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Treatment success rate for inappropriately treated retreatment MDR cases, Espinal et al. 2000</w:t>
      </w:r>
    </w:p>
    <w:p w:rsidR="00254FE5" w:rsidRDefault="00254FE5"/>
    <w:p w:rsidR="00254FE5" w:rsidRDefault="00254FE5">
      <w:r>
        <w:t>Point estimate: 0.29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29% treatment success in new MDR-TB cases treated with a standard first line regimen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proportion, Trauer et al. 2016</w:t>
      </w:r>
    </w:p>
    <w:p w:rsidR="00254FE5" w:rsidRDefault="00254FE5"/>
    <w:p w:rsidR="00254FE5" w:rsidRDefault="00254FE5">
      <w:r>
        <w:t>Point estimate: 0.125</w:t>
      </w:r>
    </w:p>
    <w:p w:rsidR="00254FE5" w:rsidRDefault="00254FE5"/>
    <w:p w:rsidR="00254FE5" w:rsidRDefault="00254FE5">
      <w:r>
        <w:t>Confidence interval: (0.096 - 0.154)</w:t>
      </w:r>
    </w:p>
    <w:p w:rsidR="00254FE5" w:rsidRDefault="00254FE5"/>
    <w:p w:rsidR="00254FE5" w:rsidRDefault="00254FE5">
      <w:r>
        <w:t xml:space="preserve">Explanation: Results describe 12.5% one year risk accruing over first 227 days. Confidence interval currently estimated. 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children, Trauer et al. 2016</w:t>
      </w:r>
    </w:p>
    <w:p w:rsidR="00254FE5" w:rsidRDefault="00254FE5"/>
    <w:p w:rsidR="00254FE5" w:rsidRDefault="00254FE5">
      <w:r>
        <w:t>Point estimate: 0.42</w:t>
      </w:r>
    </w:p>
    <w:p w:rsidR="00254FE5" w:rsidRDefault="00254FE5"/>
    <w:p w:rsidR="00254FE5" w:rsidRDefault="00254FE5">
      <w:r>
        <w:t>Confidence interval: (0.308 - 0.532)</w:t>
      </w:r>
    </w:p>
    <w:p w:rsidR="00254FE5" w:rsidRDefault="00254FE5"/>
    <w:p w:rsidR="00254FE5" w:rsidRDefault="00254FE5">
      <w:r>
        <w:t>Explanation: Estimated pooled results for both paediatric groups.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adults, Trauer et al. 2016</w:t>
      </w:r>
    </w:p>
    <w:p w:rsidR="00254FE5" w:rsidRDefault="00254FE5"/>
    <w:p w:rsidR="00254FE5" w:rsidRDefault="00254FE5">
      <w:r>
        <w:t>Point estimate: 0.024</w:t>
      </w:r>
    </w:p>
    <w:p w:rsidR="00254FE5" w:rsidRDefault="00254FE5"/>
    <w:p w:rsidR="00254FE5" w:rsidRDefault="00254FE5">
      <w:r>
        <w:t>Confidence interval: (0.009 - 0.0393)</w:t>
      </w:r>
    </w:p>
    <w:p w:rsidR="00254FE5" w:rsidRDefault="00254FE5"/>
    <w:p w:rsidR="00254FE5" w:rsidRDefault="00254FE5">
      <w:r>
        <w:t>Explanation: See comments for all-age evidence object.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proportion, Sloot et al. 2014</w:t>
      </w:r>
    </w:p>
    <w:p w:rsidR="00254FE5" w:rsidRDefault="00254FE5"/>
    <w:p w:rsidR="00254FE5" w:rsidRDefault="00254FE5">
      <w:r>
        <w:t>Point estimate: 0.095</w:t>
      </w:r>
    </w:p>
    <w:p w:rsidR="00254FE5" w:rsidRDefault="00254FE5"/>
    <w:p w:rsidR="00254FE5" w:rsidRDefault="00254FE5">
      <w:r>
        <w:t>Confidence interval: (0.074 - 0.116)</w:t>
      </w:r>
    </w:p>
    <w:p w:rsidR="00254FE5" w:rsidRDefault="00254FE5"/>
    <w:p w:rsidR="00254FE5" w:rsidRDefault="00254FE5">
      <w:r>
        <w:t>Explanation: From Figure 2, approximately 9 to 10% of the 739 contacts with evidence of infection developed active TB in the early high risk period, which lasted for around two years. Confidence interval estimated from graphs.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children, Sloot et al. 2014</w:t>
      </w:r>
    </w:p>
    <w:p w:rsidR="00254FE5" w:rsidRDefault="00254FE5"/>
    <w:p w:rsidR="00254FE5" w:rsidRDefault="00254FE5">
      <w:r>
        <w:t>Point estimate: 0.26</w:t>
      </w:r>
    </w:p>
    <w:p w:rsidR="00254FE5" w:rsidRDefault="00254FE5"/>
    <w:p w:rsidR="00254FE5" w:rsidRDefault="00254FE5">
      <w:r>
        <w:t>Confidence interval: (0.203 - 0.317)</w:t>
      </w:r>
    </w:p>
    <w:p w:rsidR="00254FE5" w:rsidRDefault="00254FE5"/>
    <w:p w:rsidR="00254FE5" w:rsidRDefault="00254FE5">
      <w:r>
        <w:t>Explanation: Estimated from Figure 3.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 in adults, Sloot et al. 2014</w:t>
      </w:r>
    </w:p>
    <w:p w:rsidR="00254FE5" w:rsidRDefault="00254FE5"/>
    <w:p w:rsidR="00254FE5" w:rsidRDefault="00254FE5">
      <w:r>
        <w:t>Point estimate: 0.07</w:t>
      </w:r>
    </w:p>
    <w:p w:rsidR="00254FE5" w:rsidRDefault="00254FE5"/>
    <w:p w:rsidR="00254FE5" w:rsidRDefault="00254FE5">
      <w:r>
        <w:t>Confidence interval: (0.055 - 0.085)</w:t>
      </w:r>
    </w:p>
    <w:p w:rsidR="00254FE5" w:rsidRDefault="00254FE5"/>
    <w:p w:rsidR="00254FE5" w:rsidRDefault="00254FE5">
      <w:r>
        <w:t>Explanation: Estimated from Figure 3.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progression proportion, Diel et al. 2011</w:t>
      </w:r>
    </w:p>
    <w:p w:rsidR="00254FE5" w:rsidRDefault="00254FE5"/>
    <w:p w:rsidR="00254FE5" w:rsidRDefault="00254FE5">
      <w:r>
        <w:t>Point estimate: 0.12925170068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Table 4: 19 of 147 untreated QFT-positive individuals got TBover two years of follow up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duration, Trauer et al. 2016</w:t>
      </w:r>
    </w:p>
    <w:p w:rsidR="00254FE5" w:rsidRDefault="00254FE5"/>
    <w:p w:rsidR="00254FE5" w:rsidRDefault="00254FE5">
      <w:r>
        <w:t>Point estimate: 0.416666666667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children, Trauer et al. 2016</w:t>
      </w:r>
    </w:p>
    <w:p w:rsidR="00254FE5" w:rsidRDefault="00254FE5"/>
    <w:p w:rsidR="00254FE5" w:rsidRDefault="00254FE5">
      <w:r>
        <w:t>Point estimate: 0.397260273973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adults, Trauer et al. 2016</w:t>
      </w:r>
    </w:p>
    <w:p w:rsidR="00254FE5" w:rsidRDefault="00254FE5"/>
    <w:p w:rsidR="00254FE5" w:rsidRDefault="00254FE5">
      <w:r>
        <w:t>Point estimate: 0.621917808219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the text of our Results (first paragraph).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duration, Sloot et al. 2014</w:t>
      </w:r>
    </w:p>
    <w:p w:rsidR="00254FE5" w:rsidRDefault="00254FE5"/>
    <w:p w:rsidR="00254FE5" w:rsidRDefault="00254FE5">
      <w:r>
        <w:t>Point estimate: 1.8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children, Sloot et al. 2014</w:t>
      </w:r>
    </w:p>
    <w:p w:rsidR="00254FE5" w:rsidRDefault="00254FE5"/>
    <w:p w:rsidR="00254FE5" w:rsidRDefault="00254FE5">
      <w:r>
        <w:t>Point estimate: 0.6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Early latent duration in adults, Sloot et al. 2014</w:t>
      </w:r>
    </w:p>
    <w:p w:rsidR="00254FE5" w:rsidRDefault="00254FE5"/>
    <w:p w:rsidR="00254FE5" w:rsidRDefault="00254FE5">
      <w:r>
        <w:t>Point estimate: 1.8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From Figure 2, high risk period lasts about two years.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Late progression rate, Horsburgh et al. 2010</w:t>
      </w:r>
    </w:p>
    <w:p w:rsidR="00254FE5" w:rsidRDefault="00254FE5"/>
    <w:p w:rsidR="00254FE5" w:rsidRDefault="00254FE5">
      <w:r>
        <w:t>Point estimate: 0.00058</w:t>
      </w:r>
    </w:p>
    <w:p w:rsidR="00254FE5" w:rsidRDefault="00254FE5"/>
    <w:p w:rsidR="00254FE5" w:rsidRDefault="00254FE5">
      <w:r>
        <w:t>Confidence interval: (0.00038 - 0.00089)</w:t>
      </w:r>
    </w:p>
    <w:p w:rsidR="00254FE5" w:rsidRDefault="00254FE5"/>
    <w:p w:rsidR="00254FE5" w:rsidRDefault="00254FE5">
      <w:r>
        <w:t>Explanation: Main finding is rate of reactivation of 0.04 per year from a community based estimate of rate of reactivation from the US.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Relative risk of TB, Colditz et al. 1994</w:t>
      </w:r>
    </w:p>
    <w:p w:rsidR="00254FE5" w:rsidRDefault="00254FE5"/>
    <w:p w:rsidR="00254FE5" w:rsidRDefault="00254FE5">
      <w:r>
        <w:t>Point estimate: 0.49</w:t>
      </w:r>
    </w:p>
    <w:p w:rsidR="00254FE5" w:rsidRDefault="00254FE5"/>
    <w:p w:rsidR="00254FE5" w:rsidRDefault="00254FE5">
      <w:r>
        <w:t>Confidence interval: (0.34 - 0.7)</w:t>
      </w:r>
    </w:p>
    <w:p w:rsidR="00254FE5" w:rsidRDefault="00254FE5"/>
    <w:p w:rsidR="00254FE5" w:rsidRDefault="00254FE5">
      <w:r>
        <w:t xml:space="preserve">Explanation: Estimate of relative risk of TB in BCG vaccinated. 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Untreated duration, Tiemersma et al. 2011</w:t>
      </w:r>
    </w:p>
    <w:p w:rsidR="00254FE5" w:rsidRDefault="00254FE5"/>
    <w:p w:rsidR="00254FE5" w:rsidRDefault="00254FE5">
      <w:r>
        <w:t>Point estimate: 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Estimate from pre-chemotherapy literature of three years untreated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Untreated case fatality, Tiemersma et al. 2011</w:t>
      </w:r>
    </w:p>
    <w:p w:rsidR="00254FE5" w:rsidRDefault="00254FE5"/>
    <w:p w:rsidR="00254FE5" w:rsidRDefault="00254FE5">
      <w:r>
        <w:t>Point estimate: 0.7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70% case fatality for smear-positive patients from Review of the pre-chemotherapy literature.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Time to complete treatment for DS-TB based on WHO guidelines</w:t>
      </w:r>
    </w:p>
    <w:p w:rsidR="00254FE5" w:rsidRDefault="00254FE5"/>
    <w:p w:rsidR="00254FE5" w:rsidRDefault="00254FE5">
      <w:r>
        <w:t>Point estimate: 6.0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Based on recommended treatment durations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Time to complete treatment for DS-TB based on WHO guidelines</w:t>
      </w:r>
    </w:p>
    <w:p w:rsidR="00254FE5" w:rsidRDefault="00254FE5"/>
    <w:p w:rsidR="00254FE5" w:rsidRDefault="00254FE5">
      <w:r>
        <w:t>Point estimate: 20.0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Based on recommended treatment durations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for smear negatives compared to smear positives, Tostmann et al. 2008</w:t>
      </w:r>
    </w:p>
    <w:p w:rsidR="00254FE5" w:rsidRDefault="00254FE5"/>
    <w:p w:rsidR="00254FE5" w:rsidRDefault="00254FE5">
      <w:r>
        <w:t>Point estimate: 0.24</w:t>
      </w:r>
    </w:p>
    <w:p w:rsidR="00254FE5" w:rsidRDefault="00254FE5"/>
    <w:p w:rsidR="00254FE5" w:rsidRDefault="00254FE5">
      <w:r>
        <w:t>Confidence interval: (0.2 - 0.3)</w:t>
      </w:r>
    </w:p>
    <w:p w:rsidR="00254FE5" w:rsidRDefault="00254FE5"/>
    <w:p w:rsidR="00254FE5" w:rsidRDefault="00254FE5">
      <w:r>
        <w:t>Explanation: Well constructed study looking at exactly this parameter and employing genotypic confirmation of transmission. (Possible ref for extrapulmonary not being transmissible.)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of treated patients compared to untreated, Dhamardhikari et al. 2014</w:t>
      </w:r>
    </w:p>
    <w:p w:rsidR="00254FE5" w:rsidRDefault="00254FE5"/>
    <w:p w:rsidR="00254FE5" w:rsidRDefault="00254FE5">
      <w:r>
        <w:t>Point estimate: 0.02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50 times greater rate of guinea pig TST conversion for untreated patients than treated (DS-TB)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Chance of transmission of treated patients compared to untreated, Dhamardhikari et al. 2014</w:t>
      </w:r>
    </w:p>
    <w:p w:rsidR="00254FE5" w:rsidRDefault="00254FE5"/>
    <w:p w:rsidR="00254FE5" w:rsidRDefault="00254FE5">
      <w:r>
        <w:t>Point estimate: 0.0714285714286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Sixfold greater rate of guinea pig TST conversion for untreated patients than treated (MDR-TB)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Proportion of defaults amplifying, Bonnet et al. 2011</w:t>
      </w:r>
    </w:p>
    <w:p w:rsidR="00254FE5" w:rsidRDefault="00254FE5"/>
    <w:p w:rsidR="00254FE5" w:rsidRDefault="00254FE5">
      <w:r>
        <w:t>Point estimate: 0.133333333333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Among 15 non-MDR-TB patients with negative treatment outcomes, two amplified to MDR-TB.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Proportionately greater rate of negative outcomes in retreatment cases compared to new cases, for appropriately treated DS-TB patients, Espinal et al. 2000</w:t>
      </w:r>
    </w:p>
    <w:p w:rsidR="00254FE5" w:rsidRDefault="00254FE5"/>
    <w:p w:rsidR="00254FE5" w:rsidRDefault="00254FE5">
      <w:r>
        <w:t>Point estimate: 2.2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85% treatment success in pan-susceptible new TB patients, compared to 67% success in pan-susceptible treatment patients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Treatment success rate for inappropriately treated new MDR cases, Espinal et al. 2000</w:t>
      </w:r>
    </w:p>
    <w:p w:rsidR="00254FE5" w:rsidRDefault="00254FE5"/>
    <w:p w:rsidR="00254FE5" w:rsidRDefault="00254FE5">
      <w:r>
        <w:t>Point estimate: 0.52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52% treatment success in new MDR-TB cases treated with a standard first line regimen</w:t>
      </w:r>
    </w:p>
    <w:p w:rsidR="00254FE5" w:rsidRDefault="00254FE5"/>
    <w:p w:rsidR="00254FE5" w:rsidRDefault="00254FE5">
      <w:r>
        <w:t>____________________________________________</w:t>
      </w:r>
    </w:p>
    <w:p w:rsidR="00254FE5" w:rsidRDefault="00254FE5"/>
    <w:p w:rsidR="00254FE5" w:rsidRDefault="00254FE5">
      <w:r>
        <w:t>Title: Treatment success rate for inappropriately treated retreatment MDR cases, Espinal et al. 2000</w:t>
      </w:r>
    </w:p>
    <w:p w:rsidR="00254FE5" w:rsidRDefault="00254FE5"/>
    <w:p w:rsidR="00254FE5" w:rsidRDefault="00254FE5">
      <w:r>
        <w:t>Point estimate: 0.29</w:t>
      </w:r>
    </w:p>
    <w:p w:rsidR="00254FE5" w:rsidRDefault="00254FE5"/>
    <w:p w:rsidR="00254FE5" w:rsidRDefault="00254FE5">
      <w:r>
        <w:t>Confidence interval: No confidence interval available from study</w:t>
      </w:r>
    </w:p>
    <w:p w:rsidR="00254FE5" w:rsidRDefault="00254FE5"/>
    <w:p w:rsidR="00254FE5" w:rsidRDefault="00254FE5">
      <w:r>
        <w:t>Explanation: 29% treatment success in new MDR-TB cases treated with a standard first line regimen</w:t>
      </w:r>
    </w:p>
    <w:p w:rsidR="00254FE5" w:rsidRDefault="00254FE5"/>
    <w:bookmarkEnd w:id="0"/>
    <w:p w:rsidR="005236FE" w:rsidRDefault="005236FE"/>
    <w:sectPr w:rsidR="0052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E5"/>
    <w:rsid w:val="00254FE5"/>
    <w:rsid w:val="0052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2252</Words>
  <Characters>12841</Characters>
  <Application>Microsoft Office Word</Application>
  <DocSecurity>0</DocSecurity>
  <Lines>107</Lines>
  <Paragraphs>30</Paragraphs>
  <ScaleCrop>false</ScaleCrop>
  <Company>Microsoft</Company>
  <LinksUpToDate>false</LinksUpToDate>
  <CharactersWithSpaces>15063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JTrauer</dc:creator>
  <cp:keywords/>
  <dc:description/>
  <cp:lastModifiedBy>JTrauer</cp:lastModifiedBy>
  <cp:revision>1</cp:revision>
  <dcterms:created xsi:type="dcterms:W3CDTF">2016-01-15T02:15:00Z</dcterms:created>
  <dcterms:modified xsi:type="dcterms:W3CDTF">2016-01-15T02:16:00Z</dcterms:modified>
</cp:coreProperties>
</file>