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B9C9" w14:textId="77777777" w:rsidR="00A147E8" w:rsidRDefault="00D71821">
      <w:pPr>
        <w:spacing w:after="105"/>
        <w:ind w:left="-120" w:right="-120"/>
      </w:pPr>
      <w:r>
        <w:rPr>
          <w:noProof/>
        </w:rPr>
        <mc:AlternateContent>
          <mc:Choice Requires="wpg">
            <w:drawing>
              <wp:inline distT="0" distB="0" distL="0" distR="0" wp14:anchorId="46DE965B" wp14:editId="643AFB92">
                <wp:extent cx="6264000" cy="6952396"/>
                <wp:effectExtent l="0" t="0" r="0" b="0"/>
                <wp:docPr id="6654" name="Group 6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952396"/>
                          <a:chOff x="0" y="0"/>
                          <a:chExt cx="6264000" cy="695239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264000" cy="664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642100">
                                <a:moveTo>
                                  <a:pt x="1016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642100"/>
                                </a:lnTo>
                                <a:lnTo>
                                  <a:pt x="0" y="66421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612723" y="257251"/>
                            <a:ext cx="138127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67C90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3C5FD"/>
                                  <w:sz w:val="16"/>
                                </w:rPr>
                                <w:t>TECHNICAL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26568" y="1464716"/>
                            <a:ext cx="4270451" cy="40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BD8A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2"/>
                                </w:rPr>
                                <w:t>MTA Daily Ridership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81559" y="2281428"/>
                            <a:ext cx="4656173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CEF5B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9A84C"/>
                                  <w:sz w:val="40"/>
                                </w:rPr>
                                <w:t>COVID-19 Recovery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254000" y="3543300"/>
                            <a:ext cx="345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3600">
                                <a:moveTo>
                                  <a:pt x="0" y="0"/>
                                </a:moveTo>
                                <a:lnTo>
                                  <a:pt x="3453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0A5F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79891" y="4598696"/>
                            <a:ext cx="6788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7EAA3" w14:textId="77777777" w:rsidR="00A147E8" w:rsidRDefault="00D71821" w:rsidP="0077418B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</w:rPr>
                                <w:t>A comprehensive data analysis of how New York's transit system was impacted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52249" y="4789196"/>
                            <a:ext cx="739413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A16AB" w14:textId="63A4955C" w:rsidR="00A147E8" w:rsidRDefault="0077418B" w:rsidP="0077418B">
                              <w:pPr>
                                <w:jc w:val="highKashida"/>
                              </w:pPr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</w:rPr>
                                <w:t xml:space="preserve">      </w:t>
                              </w:r>
                              <w:r w:rsidR="00D71821">
                                <w:rPr>
                                  <w:rFonts w:ascii="Arial" w:eastAsia="Arial" w:hAnsi="Arial" w:cs="Arial"/>
                                  <w:color w:val="BFDBFE"/>
                                </w:rPr>
                                <w:t>COVID-19 and how each mode has recovered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6508" y="60896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56035" w14:textId="77777777" w:rsidR="00A147E8" w:rsidRDefault="00D71821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3C5FD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3491" y="6102833"/>
                            <a:ext cx="244188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92D0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8"/>
                                </w:rPr>
                                <w:t xml:space="preserve"> Data Period: March 2020 – October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70898" y="6255233"/>
                            <a:ext cx="33809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788B7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43760" y="62420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AEA2" w14:textId="77777777" w:rsidR="00A147E8" w:rsidRDefault="00D71821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3C5FD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30743" y="6255233"/>
                            <a:ext cx="132667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834C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8"/>
                                </w:rPr>
                                <w:t xml:space="preserve"> 1,706 days tracked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23944" y="62420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FF02C" w14:textId="77777777" w:rsidR="00A147E8" w:rsidRDefault="00D71821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3C5FD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110926" y="6255233"/>
                            <a:ext cx="108146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74782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93C5FD"/>
                                  <w:sz w:val="18"/>
                                </w:rPr>
                                <w:t xml:space="preserve"> 7 transit modes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6200" y="6852542"/>
                            <a:ext cx="3231696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155D9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64748B"/>
                                  <w:sz w:val="17"/>
                                </w:rPr>
                                <w:t>DEPI Data Analysis Track  ·  CodeAlpha Internship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83924" y="6852542"/>
                            <a:ext cx="266515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7C23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64748B"/>
                                  <w:sz w:val="17"/>
                                </w:rPr>
                                <w:t>Prepared by: Mona Wael Dahesh &amp;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DE965B" id="Group 6654" o:spid="_x0000_s1026" style="width:493.25pt;height:547.45pt;mso-position-horizontal-relative:char;mso-position-vertical-relative:line" coordsize="62640,69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">
                <v:shape id="Shape 7" o:spid="_x0000_s1027" style="position:absolute;width:62640;height:66421;visibility:visible;mso-wrap-style:square;v-text-anchor:top" coordsize="6264000,664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" path="m101600,l6264000,r,6642100l,6642100,,101600c,45435,45436,,101600,xe" fillcolor="#1e3a8a" stroked="f" strokeweight="0">
                  <v:stroke miterlimit="83231f" joinstyle="miter"/>
                  <v:path arrowok="t" textboxrect="0,0,6264000,6642100"/>
                </v:shape>
                <v:rect id="Rectangle 8" o:spid="_x0000_s1028" style="position:absolute;left:26127;top:2572;width:1381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1B67C90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93C5FD"/>
                            <w:sz w:val="16"/>
                          </w:rPr>
                          <w:t>TECHNICAL REPORT</w:t>
                        </w:r>
                      </w:p>
                    </w:txbxContent>
                  </v:textbox>
                </v:rect>
                <v:rect id="Rectangle 9" o:spid="_x0000_s1029" style="position:absolute;left:15265;top:14647;width:42705;height:4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307BD8A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2"/>
                          </w:rPr>
                          <w:t>MTA Daily Ridership</w:t>
                        </w:r>
                      </w:p>
                    </w:txbxContent>
                  </v:textbox>
                </v:rect>
                <v:rect id="Rectangle 10" o:spid="_x0000_s1030" style="position:absolute;left:13815;top:22814;width:46562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87CEF5B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C9A84C"/>
                            <w:sz w:val="40"/>
                          </w:rPr>
                          <w:t>COVID-19 Recovery Analysis</w:t>
                        </w:r>
                      </w:p>
                    </w:txbxContent>
                  </v:textbox>
                </v:rect>
                <v:shape id="Shape 11" o:spid="_x0000_s1031" style="position:absolute;left:2540;top:35433;width:34536;height:0;visibility:visible;mso-wrap-style:square;v-text-anchor:top" coordsize="345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" path="m,l3453600,e" filled="f" strokecolor="#60a5fa" strokeweight="1pt">
                  <v:stroke miterlimit="83231f" joinstyle="miter" endcap="round"/>
                  <v:path arrowok="t" textboxrect="0,0,3453600,0"/>
                </v:shape>
                <v:rect id="Rectangle 12" o:spid="_x0000_s1032" style="position:absolute;left:5798;top:45986;width:6788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B47EAA3" w14:textId="77777777" w:rsidR="00A147E8" w:rsidRDefault="00D71821" w:rsidP="0077418B">
                        <w:r>
                          <w:rPr>
                            <w:rFonts w:ascii="Arial" w:eastAsia="Arial" w:hAnsi="Arial" w:cs="Arial"/>
                            <w:color w:val="BFDBFE"/>
                          </w:rPr>
                          <w:t>A comprehensive data analysis of how New York's transit system was impacted by</w:t>
                        </w:r>
                      </w:p>
                    </w:txbxContent>
                  </v:textbox>
                </v:rect>
                <v:rect id="Rectangle 13" o:spid="_x0000_s1033" style="position:absolute;left:3522;top:47891;width:7394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B8A16AB" w14:textId="63A4955C" w:rsidR="00A147E8" w:rsidRDefault="0077418B" w:rsidP="0077418B">
                        <w:pPr>
                          <w:jc w:val="highKashida"/>
                        </w:pPr>
                        <w:r>
                          <w:rPr>
                            <w:rFonts w:ascii="Arial" w:eastAsia="Arial" w:hAnsi="Arial" w:cs="Arial"/>
                            <w:color w:val="BFDBFE"/>
                          </w:rPr>
                          <w:t xml:space="preserve">      </w:t>
                        </w:r>
                        <w:r w:rsidR="00D71821">
                          <w:rPr>
                            <w:rFonts w:ascii="Arial" w:eastAsia="Arial" w:hAnsi="Arial" w:cs="Arial"/>
                            <w:color w:val="BFDBFE"/>
                          </w:rPr>
                          <w:t>COVID-19 and how each mode has recovered</w:t>
                        </w:r>
                        <w:r>
                          <w:rPr>
                            <w:rFonts w:ascii="Arial" w:eastAsia="Arial" w:hAnsi="Arial" w:cs="Arial"/>
                            <w:color w:val="BFDBFE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4" style="position:absolute;left:3365;top:60896;width:115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AA56035" w14:textId="77777777" w:rsidR="00A147E8" w:rsidRDefault="00D71821">
                        <w:r>
                          <w:rPr>
                            <w:rFonts w:ascii="Segoe UI Symbol" w:eastAsia="Segoe UI Symbol" w:hAnsi="Segoe UI Symbol" w:cs="Segoe UI Symbol"/>
                            <w:color w:val="93C5FD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rect id="Rectangle 15" o:spid="_x0000_s1035" style="position:absolute;left:4234;top:61028;width:2441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03592D0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93C5FD"/>
                            <w:sz w:val="18"/>
                          </w:rPr>
                          <w:t xml:space="preserve"> Data Period: March 2020 – October</w:t>
                        </w:r>
                      </w:p>
                    </w:txbxContent>
                  </v:textbox>
                </v:rect>
                <v:rect id="Rectangle 16" o:spid="_x0000_s1036" style="position:absolute;left:11708;top:62552;width:338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B7788B7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93C5FD"/>
                            <w:sz w:val="18"/>
                          </w:rPr>
                          <w:t>2024</w:t>
                        </w:r>
                      </w:p>
                    </w:txbxContent>
                  </v:textbox>
                </v:rect>
                <v:rect id="Rectangle 17" o:spid="_x0000_s1037" style="position:absolute;left:28437;top:62420;width:1157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610AEA2" w14:textId="77777777" w:rsidR="00A147E8" w:rsidRDefault="00D71821">
                        <w:r>
                          <w:rPr>
                            <w:rFonts w:ascii="Segoe UI Symbol" w:eastAsia="Segoe UI Symbol" w:hAnsi="Segoe UI Symbol" w:cs="Segoe UI Symbol"/>
                            <w:color w:val="93C5FD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rect id="Rectangle 18" o:spid="_x0000_s1038" style="position:absolute;left:29307;top:62552;width:1326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ECA834C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93C5FD"/>
                            <w:sz w:val="18"/>
                          </w:rPr>
                          <w:t xml:space="preserve"> 1,706 days tracked</w:t>
                        </w:r>
                      </w:p>
                    </w:txbxContent>
                  </v:textbox>
                </v:rect>
                <v:rect id="Rectangle 19" o:spid="_x0000_s1039" style="position:absolute;left:50239;top:62420;width:1157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33FF02C" w14:textId="77777777" w:rsidR="00A147E8" w:rsidRDefault="00D71821">
                        <w:r>
                          <w:rPr>
                            <w:rFonts w:ascii="Segoe UI Symbol" w:eastAsia="Segoe UI Symbol" w:hAnsi="Segoe UI Symbol" w:cs="Segoe UI Symbol"/>
                            <w:color w:val="93C5FD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rect id="Rectangle 20" o:spid="_x0000_s1040" style="position:absolute;left:51109;top:62552;width:1081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5E74782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93C5FD"/>
                            <w:sz w:val="18"/>
                          </w:rPr>
                          <w:t xml:space="preserve"> 7 transit modes</w:t>
                        </w:r>
                      </w:p>
                    </w:txbxContent>
                  </v:textbox>
                </v:rect>
                <v:rect id="Rectangle 21" o:spid="_x0000_s1041" style="position:absolute;left:762;top:68525;width:32316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89155D9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64748B"/>
                            <w:sz w:val="17"/>
                          </w:rPr>
                          <w:t>DEPI Data Analysis Track  ·  CodeAlpha Internship</w:t>
                        </w:r>
                      </w:p>
                    </w:txbxContent>
                  </v:textbox>
                </v:rect>
                <v:rect id="Rectangle 22" o:spid="_x0000_s1042" style="position:absolute;left:41839;top:68525;width:26651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4957C23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64748B"/>
                            <w:sz w:val="17"/>
                          </w:rPr>
                          <w:t>Prepared by: Mona Wael Dahesh &amp; Team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9F23BF" w14:textId="77777777" w:rsidR="00A147E8" w:rsidRDefault="00D71821">
      <w:pPr>
        <w:spacing w:after="684"/>
      </w:pPr>
      <w:r>
        <w:rPr>
          <w:noProof/>
        </w:rPr>
        <mc:AlternateContent>
          <mc:Choice Requires="wpg">
            <w:drawing>
              <wp:inline distT="0" distB="0" distL="0" distR="0" wp14:anchorId="45D1FA10" wp14:editId="2373127A">
                <wp:extent cx="6111600" cy="19050"/>
                <wp:effectExtent l="0" t="0" r="0" b="0"/>
                <wp:docPr id="6655" name="Group 6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9050"/>
                          <a:chOff x="0" y="0"/>
                          <a:chExt cx="6111600" cy="190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C9A8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5" style="width:481.228pt;height:1.5pt;mso-position-horizontal-relative:char;mso-position-vertical-relative:line" coordsize="61116,190">
                <v:shape id="Shape 23" style="position:absolute;width:61116;height:0;left:0;top:0;" coordsize="6111600,0" path="m0,0l6111600,0">
                  <v:stroke weight="1.5pt" endcap="round" joinstyle="miter" miterlimit="10" on="true" color="#c9a84c"/>
                  <v:fill on="false" color="#000000" opacity="0"/>
                </v:shape>
              </v:group>
            </w:pict>
          </mc:Fallback>
        </mc:AlternateContent>
      </w:r>
    </w:p>
    <w:p w14:paraId="372B140E" w14:textId="77777777" w:rsidR="00A147E8" w:rsidRDefault="00D71821">
      <w:pPr>
        <w:pStyle w:val="Heading1"/>
        <w:ind w:left="341" w:hanging="356"/>
      </w:pPr>
      <w:r>
        <w:t>Executive Summary</w:t>
      </w:r>
    </w:p>
    <w:p w14:paraId="0AAD235F" w14:textId="77777777" w:rsidR="00A147E8" w:rsidRDefault="00D71821">
      <w:pPr>
        <w:spacing w:after="179"/>
      </w:pPr>
      <w:r>
        <w:rPr>
          <w:noProof/>
        </w:rPr>
        <mc:AlternateContent>
          <mc:Choice Requires="wpg">
            <w:drawing>
              <wp:inline distT="0" distB="0" distL="0" distR="0" wp14:anchorId="1098A3EC" wp14:editId="4AD540CB">
                <wp:extent cx="6111600" cy="12700"/>
                <wp:effectExtent l="0" t="0" r="0" b="0"/>
                <wp:docPr id="6656" name="Group 6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6" style="width:481.228pt;height:1pt;mso-position-horizontal-relative:char;mso-position-vertical-relative:line" coordsize="61116,127">
                <v:shape id="Shape 25" style="position:absolute;width:61116;height:0;left:0;top:0;" coordsize="6111600,0" path="m0,0l6111600,0">
                  <v:stroke weight="1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2F32B586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 xml:space="preserve">COVID-19 hit New York's public transit harder than almost any event in its history. In just five weeks in early 2020, subway ridership collapsed by </w:t>
      </w:r>
      <w:r>
        <w:rPr>
          <w:rFonts w:ascii="Arial" w:eastAsia="Arial" w:hAnsi="Arial" w:cs="Arial"/>
          <w:b/>
          <w:color w:val="1E293B"/>
          <w:sz w:val="21"/>
        </w:rPr>
        <w:t>96%</w:t>
      </w:r>
      <w:r>
        <w:rPr>
          <w:rFonts w:ascii="Arial" w:eastAsia="Arial" w:hAnsi="Arial" w:cs="Arial"/>
          <w:color w:val="1E293B"/>
          <w:sz w:val="21"/>
        </w:rPr>
        <w:t xml:space="preserve"> — from 5.5 million daily riders to fewer than 200,000. Since then, recovery has been uneven and structurally significant: some modes fully rebounded while </w:t>
      </w:r>
      <w:r>
        <w:rPr>
          <w:rFonts w:ascii="Arial" w:eastAsia="Arial" w:hAnsi="Arial" w:cs="Arial"/>
          <w:color w:val="1E293B"/>
          <w:sz w:val="21"/>
        </w:rPr>
        <w:lastRenderedPageBreak/>
        <w:t>others stabilized at permanently lower baselines, reflecting deep behavioral shifts in how New Yorkers live, work, and move.</w:t>
      </w:r>
    </w:p>
    <w:p w14:paraId="476AB07E" w14:textId="77777777" w:rsidR="00A147E8" w:rsidRDefault="00D71821">
      <w:pPr>
        <w:spacing w:after="130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 xml:space="preserve">This report presents a full data analysis of MTA ridership from </w:t>
      </w:r>
      <w:r>
        <w:rPr>
          <w:rFonts w:ascii="Arial" w:eastAsia="Arial" w:hAnsi="Arial" w:cs="Arial"/>
          <w:b/>
          <w:color w:val="1E293B"/>
          <w:sz w:val="21"/>
        </w:rPr>
        <w:t>March 2020 to October 2024</w:t>
      </w:r>
      <w:r>
        <w:rPr>
          <w:rFonts w:ascii="Arial" w:eastAsia="Arial" w:hAnsi="Arial" w:cs="Arial"/>
          <w:color w:val="1E293B"/>
          <w:sz w:val="21"/>
        </w:rPr>
        <w:t xml:space="preserve"> across 7 transit modes, examining the collapse, the recovery trajectory, and the long-term implications for transit planning in a post-pandemic city.</w:t>
      </w:r>
    </w:p>
    <w:p w14:paraId="6301B14E" w14:textId="77777777" w:rsidR="00A147E8" w:rsidRDefault="00D71821">
      <w:pPr>
        <w:spacing w:after="25" w:line="304" w:lineRule="auto"/>
        <w:ind w:left="400"/>
      </w:pPr>
      <w:r>
        <w:rPr>
          <w:rFonts w:ascii="Arial" w:eastAsia="Arial" w:hAnsi="Arial" w:cs="Arial"/>
          <w:i/>
          <w:color w:val="2563EB"/>
        </w:rPr>
        <w:t>"COVID didn't just temporarily disrupt transit — it accelerated behavioral changes in remote work, car usage, and paratransit demand that were already quietly underway."</w:t>
      </w:r>
    </w:p>
    <w:p w14:paraId="52FBEDE1" w14:textId="77777777" w:rsidR="00A147E8" w:rsidRDefault="00D71821">
      <w:pPr>
        <w:spacing w:after="734"/>
        <w:ind w:left="-35" w:right="-35"/>
      </w:pPr>
      <w:r>
        <w:rPr>
          <w:noProof/>
        </w:rPr>
        <mc:AlternateContent>
          <mc:Choice Requires="wpg">
            <w:drawing>
              <wp:inline distT="0" distB="0" distL="0" distR="0" wp14:anchorId="72237E17" wp14:editId="56A92A18">
                <wp:extent cx="6155999" cy="1320800"/>
                <wp:effectExtent l="0" t="0" r="0" b="0"/>
                <wp:docPr id="8817" name="Group 8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5999" cy="1320800"/>
                          <a:chOff x="0" y="0"/>
                          <a:chExt cx="6155999" cy="132080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1457999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999" h="1320800">
                                <a:moveTo>
                                  <a:pt x="76200" y="0"/>
                                </a:moveTo>
                                <a:lnTo>
                                  <a:pt x="1457999" y="0"/>
                                </a:lnTo>
                                <a:lnTo>
                                  <a:pt x="1457999" y="1320800"/>
                                </a:lnTo>
                                <a:lnTo>
                                  <a:pt x="0" y="1320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Rectangle 6698"/>
                        <wps:cNvSpPr/>
                        <wps:spPr>
                          <a:xfrm>
                            <a:off x="241726" y="180391"/>
                            <a:ext cx="51652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F641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9" name="Rectangle 6699"/>
                        <wps:cNvSpPr/>
                        <wps:spPr>
                          <a:xfrm>
                            <a:off x="630092" y="180391"/>
                            <a:ext cx="412850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F9218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 xml:space="preserve">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40506" y="148260"/>
                            <a:ext cx="366771" cy="40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5220" w14:textId="77777777" w:rsidR="00A147E8" w:rsidRDefault="00D71821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4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7" name="Rectangle 6707"/>
                        <wps:cNvSpPr/>
                        <wps:spPr>
                          <a:xfrm>
                            <a:off x="395117" y="510591"/>
                            <a:ext cx="61983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DADD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198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8" name="Rectangle 6708"/>
                        <wps:cNvSpPr/>
                        <wps:spPr>
                          <a:xfrm>
                            <a:off x="861156" y="510591"/>
                            <a:ext cx="26829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25154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34081" y="992060"/>
                            <a:ext cx="13164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EF97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Subway ridership crash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0320" y="1119060"/>
                            <a:ext cx="21814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DD7AC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04340" y="1108107"/>
                            <a:ext cx="125036" cy="136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7D63" w14:textId="77777777" w:rsidR="00A147E8" w:rsidRDefault="00D71821">
                              <w:r>
                                <w:rPr>
                                  <w:rFonts w:ascii="Segoe UI Symbol" w:eastAsia="Segoe UI Symbol" w:hAnsi="Segoe UI Symbol" w:cs="Segoe UI Symbol"/>
                                  <w:color w:val="BFDBFE"/>
                                  <w:sz w:val="15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98352" y="1119060"/>
                            <a:ext cx="59148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C4430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Apr 2020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43074" y="1108107"/>
                            <a:ext cx="69549" cy="136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49C3A" w14:textId="77777777" w:rsidR="00A147E8" w:rsidRDefault="00D71821">
                              <w:r>
                                <w:rPr>
                                  <w:rFonts w:ascii="Segoe UI Symbol" w:eastAsia="Segoe UI Symbol" w:hAnsi="Segoe UI Symbol" w:cs="Segoe UI Symbol"/>
                                  <w:color w:val="BFDBFE"/>
                                  <w:sz w:val="15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0" name="Rectangle 6710"/>
                        <wps:cNvSpPr/>
                        <wps:spPr>
                          <a:xfrm>
                            <a:off x="995367" y="1119060"/>
                            <a:ext cx="1408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145CF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2" name="Rectangle 6712"/>
                        <wps:cNvSpPr/>
                        <wps:spPr>
                          <a:xfrm>
                            <a:off x="1101285" y="1119060"/>
                            <a:ext cx="1126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CA4A6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1" name="Rectangle 6711"/>
                        <wps:cNvSpPr/>
                        <wps:spPr>
                          <a:xfrm>
                            <a:off x="1185962" y="1119060"/>
                            <a:ext cx="421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8AD6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1566001" y="165100"/>
                            <a:ext cx="1457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999" h="990600">
                                <a:moveTo>
                                  <a:pt x="76200" y="0"/>
                                </a:moveTo>
                                <a:lnTo>
                                  <a:pt x="1457999" y="0"/>
                                </a:lnTo>
                                <a:lnTo>
                                  <a:pt x="1457999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A3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Rectangle 6700"/>
                        <wps:cNvSpPr/>
                        <wps:spPr>
                          <a:xfrm>
                            <a:off x="1898951" y="345491"/>
                            <a:ext cx="72313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D3A0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93.4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1" name="Rectangle 6701"/>
                        <wps:cNvSpPr/>
                        <wps:spPr>
                          <a:xfrm>
                            <a:off x="2442663" y="345491"/>
                            <a:ext cx="330354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DAF39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646491" y="826960"/>
                            <a:ext cx="17250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3058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Bridges &amp; Tunnels avg Fastest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112406" y="953960"/>
                            <a:ext cx="48570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0F2D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3131999" y="165100"/>
                            <a:ext cx="1457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999" h="990600">
                                <a:moveTo>
                                  <a:pt x="76200" y="0"/>
                                </a:moveTo>
                                <a:lnTo>
                                  <a:pt x="1457999" y="0"/>
                                </a:lnTo>
                                <a:lnTo>
                                  <a:pt x="1457999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770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Rectangle 6702"/>
                        <wps:cNvSpPr/>
                        <wps:spPr>
                          <a:xfrm>
                            <a:off x="3464950" y="345491"/>
                            <a:ext cx="723138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CAD3B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51.1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3" name="Rectangle 6703"/>
                        <wps:cNvSpPr/>
                        <wps:spPr>
                          <a:xfrm>
                            <a:off x="4008662" y="345491"/>
                            <a:ext cx="330354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7FE27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336982" y="826960"/>
                            <a:ext cx="139388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20EDD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Metro-North avg Slowest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678405" y="953960"/>
                            <a:ext cx="48570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6D13F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4698000" y="165100"/>
                            <a:ext cx="1457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999" h="990600">
                                <a:moveTo>
                                  <a:pt x="76200" y="0"/>
                                </a:moveTo>
                                <a:lnTo>
                                  <a:pt x="1457999" y="0"/>
                                </a:lnTo>
                                <a:lnTo>
                                  <a:pt x="1457999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Rectangle 6704"/>
                        <wps:cNvSpPr/>
                        <wps:spPr>
                          <a:xfrm>
                            <a:off x="5069787" y="345491"/>
                            <a:ext cx="61983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17119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126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5" name="Rectangle 6705"/>
                        <wps:cNvSpPr/>
                        <wps:spPr>
                          <a:xfrm>
                            <a:off x="5535826" y="345491"/>
                            <a:ext cx="330354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E5873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992945" y="826960"/>
                            <a:ext cx="11545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DA7DD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Access-A-Ride 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910840" y="953960"/>
                            <a:ext cx="137298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1A293" w14:textId="77777777" w:rsidR="00A147E8" w:rsidRDefault="00D71821">
                              <w:r>
                                <w:rPr>
                                  <w:rFonts w:ascii="Arial" w:eastAsia="Arial" w:hAnsi="Arial" w:cs="Arial"/>
                                  <w:color w:val="BFDBFE"/>
                                  <w:sz w:val="15"/>
                                </w:rPr>
                                <w:t>Exceeded pre-pandemic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37E17" id="Group 8817" o:spid="_x0000_s1043" style="width:484.7pt;height:104pt;mso-position-horizontal-relative:char;mso-position-vertical-relative:line" coordsize="61559,13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">
                <v:shape id="Shape 55" o:spid="_x0000_s1044" style="position:absolute;width:14579;height:13208;visibility:visible;mso-wrap-style:square;v-text-anchor:top" coordsize="1457999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" path="m76200,l1457999,r,1320800l,1320800,,76200c,34077,34077,,76200,xe" fillcolor="#1e3a8a" stroked="f" strokeweight="0">
                  <v:stroke miterlimit="83231f" joinstyle="miter"/>
                  <v:path arrowok="t" textboxrect="0,0,1457999,1320800"/>
                </v:shape>
                <v:rect id="Rectangle 6698" o:spid="_x0000_s1045" style="position:absolute;left:2417;top:1803;width:5165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/Br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" filled="f" stroked="f">
                  <v:textbox inset="0,0,0,0">
                    <w:txbxContent>
                      <w:p w14:paraId="469FF641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5.5</w:t>
                        </w:r>
                      </w:p>
                    </w:txbxContent>
                  </v:textbox>
                </v:rect>
                <v:rect id="Rectangle 6699" o:spid="_x0000_s1046" style="position:absolute;left:6300;top:1803;width:4129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1Xw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TeH3TXgCcvMDAAD//wMAUEsBAi0AFAAGAAgAAAAhANvh9svuAAAAhQEAABMAAAAAAAAA&#10;AAAAAAAAAAAAAFtDb250ZW50X1R5cGVzXS54bWxQSwECLQAUAAYACAAAACEAWvQsW78AAAAVAQAA&#10;CwAAAAAAAAAAAAAAAAAfAQAAX3JlbHMvLnJlbHNQSwECLQAUAAYACAAAACEAfN9V8MYAAADdAAAA&#10;DwAAAAAAAAAAAAAAAAAHAgAAZHJzL2Rvd25yZXYueG1sUEsFBgAAAAADAAMAtwAAAPoCAAAAAA==&#10;" filled="f" stroked="f">
                  <v:textbox inset="0,0,0,0">
                    <w:txbxContent>
                      <w:p w14:paraId="632F9218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 xml:space="preserve">M </w:t>
                        </w:r>
                      </w:p>
                    </w:txbxContent>
                  </v:textbox>
                </v:rect>
                <v:rect id="Rectangle 57" o:spid="_x0000_s1047" style="position:absolute;left:9405;top:1482;width:3667;height:4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2615220" w14:textId="77777777" w:rsidR="00A147E8" w:rsidRDefault="00D71821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44"/>
                          </w:rPr>
                          <w:t>→</w:t>
                        </w:r>
                      </w:p>
                    </w:txbxContent>
                  </v:textbox>
                </v:rect>
                <v:rect id="Rectangle 6707" o:spid="_x0000_s1048" style="position:absolute;left:3951;top:5105;width:619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/4DxQAAAN0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" filled="f" stroked="f">
                  <v:textbox inset="0,0,0,0">
                    <w:txbxContent>
                      <w:p w14:paraId="47AADADD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198</w:t>
                        </w:r>
                      </w:p>
                    </w:txbxContent>
                  </v:textbox>
                </v:rect>
                <v:rect id="Rectangle 6708" o:spid="_x0000_s1049" style="position:absolute;left:8611;top:5105;width:2683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px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ZRmBvehCcg0z8AAAD//wMAUEsBAi0AFAAGAAgAAAAhANvh9svuAAAAhQEAABMAAAAAAAAAAAAA&#10;AAAAAAAAAFtDb250ZW50X1R5cGVzXS54bWxQSwECLQAUAAYACAAAACEAWvQsW78AAAAVAQAACwAA&#10;AAAAAAAAAAAAAAAfAQAAX3JlbHMvLnJlbHNQSwECLQAUAAYACAAAACEAjXhqccMAAADdAAAADwAA&#10;AAAAAAAAAAAAAAAHAgAAZHJzL2Rvd25yZXYueG1sUEsFBgAAAAADAAMAtwAAAPcCAAAAAA==&#10;" filled="f" stroked="f">
                  <v:textbox inset="0,0,0,0">
                    <w:txbxContent>
                      <w:p w14:paraId="5CE25154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K</w:t>
                        </w:r>
                      </w:p>
                    </w:txbxContent>
                  </v:textbox>
                </v:rect>
                <v:rect id="Rectangle 59" o:spid="_x0000_s1050" style="position:absolute;left:2340;top:9920;width:13165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EAFEF97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Subway ridership crash</w:t>
                        </w:r>
                      </w:p>
                    </w:txbxContent>
                  </v:textbox>
                </v:rect>
                <v:rect id="Rectangle 60" o:spid="_x0000_s1051" style="position:absolute;left:2403;top:11190;width:2181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4EDD7AC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Mar</w:t>
                        </w:r>
                      </w:p>
                    </w:txbxContent>
                  </v:textbox>
                </v:rect>
                <v:rect id="Rectangle 61" o:spid="_x0000_s1052" style="position:absolute;left:4043;top:11081;width:1250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CB47D63" w14:textId="77777777" w:rsidR="00A147E8" w:rsidRDefault="00D71821">
                        <w:r>
                          <w:rPr>
                            <w:rFonts w:ascii="Segoe UI Symbol" w:eastAsia="Segoe UI Symbol" w:hAnsi="Segoe UI Symbol" w:cs="Segoe UI Symbol"/>
                            <w:color w:val="BFDBFE"/>
                            <w:sz w:val="15"/>
                          </w:rPr>
                          <w:t>→</w:t>
                        </w:r>
                      </w:p>
                    </w:txbxContent>
                  </v:textbox>
                </v:rect>
                <v:rect id="Rectangle 62" o:spid="_x0000_s1053" style="position:absolute;left:4983;top:11190;width:5915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ACC4430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Apr 2020 (</w:t>
                        </w:r>
                      </w:p>
                    </w:txbxContent>
                  </v:textbox>
                </v:rect>
                <v:rect id="Rectangle 63" o:spid="_x0000_s1054" style="position:absolute;left:9430;top:11081;width:696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9B49C3A" w14:textId="77777777" w:rsidR="00A147E8" w:rsidRDefault="00D71821">
                        <w:r>
                          <w:rPr>
                            <w:rFonts w:ascii="Segoe UI Symbol" w:eastAsia="Segoe UI Symbol" w:hAnsi="Segoe UI Symbol" w:cs="Segoe UI Symbol"/>
                            <w:color w:val="BFDBFE"/>
                            <w:sz w:val="15"/>
                          </w:rPr>
                          <w:t>−</w:t>
                        </w:r>
                      </w:p>
                    </w:txbxContent>
                  </v:textbox>
                </v:rect>
                <v:rect id="Rectangle 6710" o:spid="_x0000_s1055" style="position:absolute;left:9953;top:11190;width:1409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/Cq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CfDsD+8CU9Apk8AAAD//wMAUEsBAi0AFAAGAAgAAAAhANvh9svuAAAAhQEAABMAAAAAAAAAAAAA&#10;AAAAAAAAAFtDb250ZW50X1R5cGVzXS54bWxQSwECLQAUAAYACAAAACEAWvQsW78AAAAVAQAACwAA&#10;AAAAAAAAAAAAAAAfAQAAX3JlbHMvLnJlbHNQSwECLQAUAAYACAAAACEA9tfwqsMAAADdAAAADwAA&#10;AAAAAAAAAAAAAAAHAgAAZHJzL2Rvd25yZXYueG1sUEsFBgAAAAADAAMAtwAAAPcCAAAAAA==&#10;" filled="f" stroked="f">
                  <v:textbox inset="0,0,0,0">
                    <w:txbxContent>
                      <w:p w14:paraId="75D145CF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96</w:t>
                        </w:r>
                      </w:p>
                    </w:txbxContent>
                  </v:textbox>
                </v:rect>
                <v:rect id="Rectangle 6712" o:spid="_x0000_s1056" style="position:absolute;left:11012;top:11190;width:112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t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xekilc34QnINf/AAAA//8DAFBLAQItABQABgAIAAAAIQDb4fbL7gAAAIUBAAATAAAAAAAA&#10;AAAAAAAAAAAAAABbQ29udGVudF9UeXBlc10ueG1sUEsBAi0AFAAGAAgAAAAhAFr0LFu/AAAAFQEA&#10;AAsAAAAAAAAAAAAAAAAAHwEAAF9yZWxzLy5yZWxzUEsBAi0AFAAGAAgAAAAhAGlJy0bHAAAA3QAA&#10;AA8AAAAAAAAAAAAAAAAABwIAAGRycy9kb3ducmV2LnhtbFBLBQYAAAAAAwADALcAAAD7AgAAAAA=&#10;" filled="f" stroked="f">
                  <v:textbox inset="0,0,0,0">
                    <w:txbxContent>
                      <w:p w14:paraId="7E9CA4A6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%</w:t>
                        </w:r>
                      </w:p>
                    </w:txbxContent>
                  </v:textbox>
                </v:rect>
                <v:rect id="Rectangle 6711" o:spid="_x0000_s1057" style="position:absolute;left:11859;top:11190;width:422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" filled="f" stroked="f">
                  <v:textbox inset="0,0,0,0">
                    <w:txbxContent>
                      <w:p w14:paraId="7EF48AD6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66" o:spid="_x0000_s1058" style="position:absolute;left:15660;top:1651;width:14580;height:9906;visibility:visible;mso-wrap-style:square;v-text-anchor:top" coordsize="1457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" path="m76200,l1457999,r,990600l,990600,,76200c,34077,34077,,76200,xe" fillcolor="#16a34a" stroked="f" strokeweight="0">
                  <v:stroke miterlimit="83231f" joinstyle="miter"/>
                  <v:path arrowok="t" textboxrect="0,0,1457999,990600"/>
                </v:shape>
                <v:rect id="Rectangle 6700" o:spid="_x0000_s1059" style="position:absolute;left:18989;top:3454;width:7231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mZ3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ZR2B/ehCcg0z8AAAD//wMAUEsBAi0AFAAGAAgAAAAhANvh9svuAAAAhQEAABMAAAAAAAAAAAAA&#10;AAAAAAAAAFtDb250ZW50X1R5cGVzXS54bWxQSwECLQAUAAYACAAAACEAWvQsW78AAAAVAQAACwAA&#10;AAAAAAAAAAAAAAAfAQAAX3JlbHMvLnJlbHNQSwECLQAUAAYACAAAACEAcw5md8MAAADdAAAADwAA&#10;AAAAAAAAAAAAAAAHAgAAZHJzL2Rvd25yZXYueG1sUEsFBgAAAAADAAMAtwAAAPcCAAAAAA==&#10;" filled="f" stroked="f">
                  <v:textbox inset="0,0,0,0">
                    <w:txbxContent>
                      <w:p w14:paraId="56FBD3A0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93.4</w:t>
                        </w:r>
                      </w:p>
                    </w:txbxContent>
                  </v:textbox>
                </v:rect>
                <v:rect id="Rectangle 6701" o:spid="_x0000_s1060" style="position:absolute;left:24426;top:3454;width:3304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Ps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IZRH55vwhOQswcAAAD//wMAUEsBAi0AFAAGAAgAAAAhANvh9svuAAAAhQEAABMAAAAAAAAA&#10;AAAAAAAAAAAAAFtDb250ZW50X1R5cGVzXS54bWxQSwECLQAUAAYACAAAACEAWvQsW78AAAAVAQAA&#10;CwAAAAAAAAAAAAAAAAAfAQAAX3JlbHMvLnJlbHNQSwECLQAUAAYACAAAACEAHELD7MYAAADdAAAA&#10;DwAAAAAAAAAAAAAAAAAHAgAAZHJzL2Rvd25yZXYueG1sUEsFBgAAAAADAAMAtwAAAPoCAAAAAA==&#10;" filled="f" stroked="f">
                  <v:textbox inset="0,0,0,0">
                    <w:txbxContent>
                      <w:p w14:paraId="147DAF39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%</w:t>
                        </w:r>
                      </w:p>
                    </w:txbxContent>
                  </v:textbox>
                </v:rect>
                <v:rect id="Rectangle 68" o:spid="_x0000_s1061" style="position:absolute;left:16464;top:8269;width:17251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A4E3058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Bridges &amp; Tunnels avg Fastest</w:t>
                        </w:r>
                      </w:p>
                    </w:txbxContent>
                  </v:textbox>
                </v:rect>
                <v:rect id="Rectangle 69" o:spid="_x0000_s1062" style="position:absolute;left:21124;top:9539;width:485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EBA0F2D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recovery</w:t>
                        </w:r>
                      </w:p>
                    </w:txbxContent>
                  </v:textbox>
                </v:rect>
                <v:shape id="Shape 71" o:spid="_x0000_s1063" style="position:absolute;left:31319;top:1651;width:14580;height:9906;visibility:visible;mso-wrap-style:square;v-text-anchor:top" coordsize="1457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" path="m76200,l1457999,r,990600l,990600,,76200c,34077,34077,,76200,xe" fillcolor="#d97706" stroked="f" strokeweight="0">
                  <v:stroke miterlimit="83231f" joinstyle="miter"/>
                  <v:path arrowok="t" textboxrect="0,0,1457999,990600"/>
                </v:shape>
                <v:rect id="Rectangle 6702" o:spid="_x0000_s1064" style="position:absolute;left:34649;top:3454;width:7231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F2b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SOhvB8E56AnD8AAAD//wMAUEsBAi0AFAAGAAgAAAAhANvh9svuAAAAhQEAABMAAAAAAAAA&#10;AAAAAAAAAAAAAFtDb250ZW50X1R5cGVzXS54bWxQSwECLQAUAAYACAAAACEAWvQsW78AAAAVAQAA&#10;CwAAAAAAAAAAAAAAAAAfAQAAX3JlbHMvLnJlbHNQSwECLQAUAAYACAAAACEA7JBdm8YAAADdAAAA&#10;DwAAAAAAAAAAAAAAAAAHAgAAZHJzL2Rvd25yZXYueG1sUEsFBgAAAAADAAMAtwAAAPoCAAAAAA==&#10;" filled="f" stroked="f">
                  <v:textbox inset="0,0,0,0">
                    <w:txbxContent>
                      <w:p w14:paraId="59BCAD3B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51.1</w:t>
                        </w:r>
                      </w:p>
                    </w:txbxContent>
                  </v:textbox>
                </v:rect>
                <v:rect id="Rectangle 6703" o:spid="_x0000_s1065" style="position:absolute;left:40086;top:3454;width:3304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gA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qazZAJ/b+ITkMsbAAAA//8DAFBLAQItABQABgAIAAAAIQDb4fbL7gAAAIUBAAATAAAAAAAA&#10;AAAAAAAAAAAAAABbQ29udGVudF9UeXBlc10ueG1sUEsBAi0AFAAGAAgAAAAhAFr0LFu/AAAAFQEA&#10;AAsAAAAAAAAAAAAAAAAAHwEAAF9yZWxzLy5yZWxzUEsBAi0AFAAGAAgAAAAhAIPc+ADHAAAA3QAA&#10;AA8AAAAAAAAAAAAAAAAABwIAAGRycy9kb3ducmV2LnhtbFBLBQYAAAAAAwADALcAAAD7AgAAAAA=&#10;" filled="f" stroked="f">
                  <v:textbox inset="0,0,0,0">
                    <w:txbxContent>
                      <w:p w14:paraId="0287FE27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%</w:t>
                        </w:r>
                      </w:p>
                    </w:txbxContent>
                  </v:textbox>
                </v:rect>
                <v:rect id="Rectangle 73" o:spid="_x0000_s1066" style="position:absolute;left:33369;top:8269;width:13939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4E20EDD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Metro-North avg Slowest</w:t>
                        </w:r>
                      </w:p>
                    </w:txbxContent>
                  </v:textbox>
                </v:rect>
                <v:rect id="Rectangle 74" o:spid="_x0000_s1067" style="position:absolute;left:36784;top:9539;width:485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406D13F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recovery</w:t>
                        </w:r>
                      </w:p>
                    </w:txbxContent>
                  </v:textbox>
                </v:rect>
                <v:shape id="Shape 76" o:spid="_x0000_s1068" style="position:absolute;left:46980;top:1651;width:14579;height:9906;visibility:visible;mso-wrap-style:square;v-text-anchor:top" coordsize="1457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" path="m76200,l1457999,r,990600l,990600,,76200c,34077,34077,,76200,xe" fillcolor="#7c3aed" stroked="f" strokeweight="0">
                  <v:stroke miterlimit="83231f" joinstyle="miter"/>
                  <v:path arrowok="t" textboxrect="0,0,1457999,990600"/>
                </v:shape>
                <v:rect id="Rectangle 6704" o:spid="_x0000_s1069" style="position:absolute;left:50697;top:3454;width:6199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B0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zZAJ/b+ITkMsbAAAA//8DAFBLAQItABQABgAIAAAAIQDb4fbL7gAAAIUBAAATAAAAAAAA&#10;AAAAAAAAAAAAAABbQ29udGVudF9UeXBlc10ueG1sUEsBAi0AFAAGAAgAAAAhAFr0LFu/AAAAFQEA&#10;AAsAAAAAAAAAAAAAAAAAHwEAAF9yZWxzLy5yZWxzUEsBAi0AFAAGAAgAAAAhAAw1YHTHAAAA3QAA&#10;AA8AAAAAAAAAAAAAAAAABwIAAGRycy9kb3ducmV2LnhtbFBLBQYAAAAAAwADALcAAAD7AgAAAAA=&#10;" filled="f" stroked="f">
                  <v:textbox inset="0,0,0,0">
                    <w:txbxContent>
                      <w:p w14:paraId="5EB17119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126</w:t>
                        </w:r>
                      </w:p>
                    </w:txbxContent>
                  </v:textbox>
                </v:rect>
                <v:rect id="Rectangle 6705" o:spid="_x0000_s1070" style="position:absolute;left:55358;top:3454;width:3303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Xv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qazZAJ/b+ITkMsbAAAA//8DAFBLAQItABQABgAIAAAAIQDb4fbL7gAAAIUBAAATAAAAAAAA&#10;AAAAAAAAAAAAAABbQ29udGVudF9UeXBlc10ueG1sUEsBAi0AFAAGAAgAAAAhAFr0LFu/AAAAFQEA&#10;AAsAAAAAAAAAAAAAAAAAHwEAAF9yZWxzLy5yZWxzUEsBAi0AFAAGAAgAAAAhAGN5xe/HAAAA3QAA&#10;AA8AAAAAAAAAAAAAAAAABwIAAGRycy9kb3ducmV2LnhtbFBLBQYAAAAAAwADALcAAAD7AgAAAAA=&#10;" filled="f" stroked="f">
                  <v:textbox inset="0,0,0,0">
                    <w:txbxContent>
                      <w:p w14:paraId="12FE5873" w14:textId="77777777" w:rsidR="00A147E8" w:rsidRDefault="00D71821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4"/>
                          </w:rPr>
                          <w:t>%</w:t>
                        </w:r>
                      </w:p>
                    </w:txbxContent>
                  </v:textbox>
                </v:rect>
                <v:rect id="Rectangle 78" o:spid="_x0000_s1071" style="position:absolute;left:49929;top:8269;width:1154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DEDA7DD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Access-A-Ride 2024</w:t>
                        </w:r>
                      </w:p>
                    </w:txbxContent>
                  </v:textbox>
                </v:rect>
                <v:rect id="Rectangle 79" o:spid="_x0000_s1072" style="position:absolute;left:49108;top:9539;width:13730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C01A293" w14:textId="77777777" w:rsidR="00A147E8" w:rsidRDefault="00D71821">
                        <w:r>
                          <w:rPr>
                            <w:rFonts w:ascii="Arial" w:eastAsia="Arial" w:hAnsi="Arial" w:cs="Arial"/>
                            <w:color w:val="BFDBFE"/>
                            <w:sz w:val="15"/>
                          </w:rPr>
                          <w:t>Exceeded pre-pandemic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E1A3D6" w14:textId="77777777" w:rsidR="00A147E8" w:rsidRDefault="00D71821">
      <w:pPr>
        <w:pStyle w:val="Heading1"/>
        <w:ind w:left="341" w:hanging="356"/>
      </w:pPr>
      <w:r>
        <w:t>Dataset Overview &amp; Business Constraints</w:t>
      </w:r>
    </w:p>
    <w:p w14:paraId="5C570D13" w14:textId="77777777" w:rsidR="00A147E8" w:rsidRDefault="00D71821">
      <w:pPr>
        <w:spacing w:after="308"/>
      </w:pPr>
      <w:r>
        <w:rPr>
          <w:noProof/>
        </w:rPr>
        <mc:AlternateContent>
          <mc:Choice Requires="wpg">
            <w:drawing>
              <wp:inline distT="0" distB="0" distL="0" distR="0" wp14:anchorId="32C0D0BB" wp14:editId="2A1472FF">
                <wp:extent cx="6111600" cy="12700"/>
                <wp:effectExtent l="0" t="0" r="0" b="0"/>
                <wp:docPr id="8818" name="Group 8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8" style="width:481.228pt;height:1pt;mso-position-horizontal-relative:char;mso-position-vertical-relative:line" coordsize="61116,127">
                <v:shape id="Shape 81" style="position:absolute;width:61116;height:0;left:0;top:0;" coordsize="6111600,0" path="m0,0l6111600,0">
                  <v:stroke weight="1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129D84EC" w14:textId="77777777" w:rsidR="00A147E8" w:rsidRDefault="00D71821">
      <w:pPr>
        <w:pStyle w:val="Heading2"/>
        <w:spacing w:after="52"/>
        <w:ind w:left="385" w:hanging="400"/>
      </w:pPr>
      <w:r>
        <w:t>About the Dataset</w:t>
      </w:r>
    </w:p>
    <w:p w14:paraId="4000FE3E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 xml:space="preserve">The dataset is sourced from the </w:t>
      </w:r>
      <w:r>
        <w:rPr>
          <w:rFonts w:ascii="Arial" w:eastAsia="Arial" w:hAnsi="Arial" w:cs="Arial"/>
          <w:b/>
          <w:color w:val="1E293B"/>
          <w:sz w:val="21"/>
        </w:rPr>
        <w:t>MTA Open Data Portal</w:t>
      </w:r>
      <w:r>
        <w:rPr>
          <w:rFonts w:ascii="Arial" w:eastAsia="Arial" w:hAnsi="Arial" w:cs="Arial"/>
          <w:color w:val="1E293B"/>
          <w:sz w:val="21"/>
        </w:rPr>
        <w:t xml:space="preserve"> and covers daily ridership for all major New</w:t>
      </w:r>
    </w:p>
    <w:p w14:paraId="01266652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>York City transit modes from March 1, 2020 through October 31, 2024 — a total of 1,706 calendar days.</w:t>
      </w:r>
    </w:p>
    <w:tbl>
      <w:tblPr>
        <w:tblStyle w:val="TableGrid"/>
        <w:tblW w:w="9071" w:type="dxa"/>
        <w:tblInd w:w="2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3288"/>
        <w:gridCol w:w="1361"/>
        <w:gridCol w:w="1474"/>
      </w:tblGrid>
      <w:tr w:rsidR="00A147E8" w14:paraId="2EC1FC6E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2563EB"/>
            <w:vAlign w:val="center"/>
          </w:tcPr>
          <w:p w14:paraId="39300A71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Column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2563EB"/>
            <w:vAlign w:val="center"/>
          </w:tcPr>
          <w:p w14:paraId="030D62CE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Description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2563EB"/>
            <w:vAlign w:val="center"/>
          </w:tcPr>
          <w:p w14:paraId="339417EF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Type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2563EB"/>
            <w:vAlign w:val="center"/>
          </w:tcPr>
          <w:p w14:paraId="5366EDEA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Note</w:t>
            </w:r>
          </w:p>
        </w:tc>
      </w:tr>
      <w:tr w:rsidR="00A147E8" w14:paraId="58BF0129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62FDDA4E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Date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3FACD414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Calendar date of observation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6450D2C3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Date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0BB27855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Daily granularity</w:t>
            </w:r>
          </w:p>
        </w:tc>
      </w:tr>
      <w:tr w:rsidR="00A147E8" w14:paraId="72DA6E3B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329C6926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Subways: Total Estimated Ridership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357A95D2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Estimated daily subway riders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3AD269EA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3535FA91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Core metric</w:t>
            </w:r>
          </w:p>
        </w:tc>
      </w:tr>
      <w:tr w:rsidR="00A147E8" w14:paraId="6AFF08C6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40C3BA4E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Subways: % of Comparable Pre-Pande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2FCF1954" w14:textId="77777777" w:rsidR="00A147E8" w:rsidRDefault="00D71821">
            <w:pPr>
              <w:spacing w:after="0"/>
              <w:ind w:left="-45"/>
            </w:pPr>
            <w:r>
              <w:rPr>
                <w:rFonts w:ascii="Arial" w:eastAsia="Arial" w:hAnsi="Arial" w:cs="Arial"/>
                <w:color w:val="1E293B"/>
                <w:sz w:val="16"/>
              </w:rPr>
              <w:t>mic DayRecovery % vs equivalent 2019 day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370B80EF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 (0–143)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4F5E2D5C" w14:textId="77777777" w:rsidR="00A147E8" w:rsidRDefault="00D71821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Keep as int</w:t>
            </w:r>
          </w:p>
        </w:tc>
      </w:tr>
      <w:tr w:rsidR="00A147E8" w14:paraId="6338A89C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5500726A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Buses: Total Estimated Ridership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0D32284C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Daily bus passengers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5840B2A4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45121EE9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—</w:t>
            </w:r>
          </w:p>
        </w:tc>
      </w:tr>
      <w:tr w:rsidR="00A147E8" w14:paraId="20533103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0FA94BF5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Buses: % of Comparable Pre-Pandemic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6CD39CF7" w14:textId="77777777" w:rsidR="00A147E8" w:rsidRDefault="00D71821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 DayRecovery %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0D399AF5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75FA59C7" w14:textId="77777777" w:rsidR="00A147E8" w:rsidRDefault="00D71821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Keep as int</w:t>
            </w:r>
          </w:p>
        </w:tc>
      </w:tr>
      <w:tr w:rsidR="00A147E8" w14:paraId="6AA7A96F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328C1489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LIRR / Metro-North / Access-A-Ride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42FC9A72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Same structure per mode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6FBDD69C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60DF1EA6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—</w:t>
            </w:r>
          </w:p>
        </w:tc>
      </w:tr>
      <w:tr w:rsidR="00A147E8" w14:paraId="03D4CBA9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3D1BED14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Bridges and Tunnels: Total Traffic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7362E55D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Vehicle crossings per day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34061D78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69A541A8" w14:textId="77777777" w:rsidR="00A147E8" w:rsidRDefault="00D71821">
            <w:pPr>
              <w:spacing w:after="0"/>
              <w:ind w:left="120" w:right="-166"/>
            </w:pPr>
            <w:r>
              <w:rPr>
                <w:rFonts w:ascii="Arial" w:eastAsia="Arial" w:hAnsi="Arial" w:cs="Arial"/>
                <w:color w:val="1E293B"/>
                <w:sz w:val="16"/>
              </w:rPr>
              <w:t>Not riders — vehicles</w:t>
            </w:r>
          </w:p>
        </w:tc>
      </w:tr>
      <w:tr w:rsidR="00A147E8" w14:paraId="3E3E35C6" w14:textId="77777777">
        <w:trPr>
          <w:trHeight w:val="440"/>
        </w:trPr>
        <w:tc>
          <w:tcPr>
            <w:tcW w:w="294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1595CF04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Staten Island Railway: Total Estimated </w:t>
            </w:r>
          </w:p>
        </w:tc>
        <w:tc>
          <w:tcPr>
            <w:tcW w:w="328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2F337DE8" w14:textId="77777777" w:rsidR="00A147E8" w:rsidRDefault="00D71821">
            <w:pPr>
              <w:spacing w:after="0"/>
              <w:ind w:left="-45"/>
            </w:pPr>
            <w:r>
              <w:rPr>
                <w:rFonts w:ascii="Arial" w:eastAsia="Arial" w:hAnsi="Arial" w:cs="Arial"/>
                <w:color w:val="1E293B"/>
                <w:sz w:val="16"/>
              </w:rPr>
              <w:t>RidershipSmallest mode</w:t>
            </w:r>
          </w:p>
        </w:tc>
        <w:tc>
          <w:tcPr>
            <w:tcW w:w="136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6572029F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Integer</w:t>
            </w:r>
          </w:p>
        </w:tc>
        <w:tc>
          <w:tcPr>
            <w:tcW w:w="147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61DB89B1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6"/>
              </w:rPr>
              <w:t>—</w:t>
            </w:r>
          </w:p>
        </w:tc>
      </w:tr>
    </w:tbl>
    <w:p w14:paraId="73A1CB09" w14:textId="77777777" w:rsidR="00A147E8" w:rsidRDefault="00D71821">
      <w:pPr>
        <w:pStyle w:val="Heading2"/>
        <w:spacing w:after="52"/>
        <w:ind w:left="385" w:hanging="400"/>
      </w:pPr>
      <w:r>
        <w:t>Business Constraints &amp; Analytical Challenges</w:t>
      </w:r>
    </w:p>
    <w:p w14:paraId="20F71DDE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>Before analysis began, the team identified several real-world constraints that shaped how the data was interpreted and what questions could meaningfully be answered:</w:t>
      </w:r>
    </w:p>
    <w:tbl>
      <w:tblPr>
        <w:tblStyle w:val="TableGrid"/>
        <w:tblW w:w="10318" w:type="dxa"/>
        <w:tblInd w:w="-347" w:type="dxa"/>
        <w:tblCellMar>
          <w:top w:w="173" w:type="dxa"/>
          <w:left w:w="118" w:type="dxa"/>
          <w:bottom w:w="0" w:type="dxa"/>
          <w:right w:w="318" w:type="dxa"/>
        </w:tblCellMar>
        <w:tblLook w:val="04A0" w:firstRow="1" w:lastRow="0" w:firstColumn="1" w:lastColumn="0" w:noHBand="0" w:noVBand="1"/>
      </w:tblPr>
      <w:tblGrid>
        <w:gridCol w:w="712"/>
        <w:gridCol w:w="9606"/>
      </w:tblGrid>
      <w:tr w:rsidR="00A147E8" w14:paraId="7910DB40" w14:textId="77777777">
        <w:trPr>
          <w:trHeight w:val="152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2563EB"/>
            </w:tcBorders>
            <w:shd w:val="clear" w:color="auto" w:fill="F8FAFF"/>
          </w:tcPr>
          <w:p w14:paraId="4341A264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2563EB"/>
              <w:bottom w:val="nil"/>
              <w:right w:val="nil"/>
            </w:tcBorders>
            <w:shd w:val="clear" w:color="auto" w:fill="F8FAFF"/>
            <w:vAlign w:val="center"/>
          </w:tcPr>
          <w:p w14:paraId="47FFC0E0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2563EB"/>
                <w:sz w:val="20"/>
              </w:rPr>
              <w:t>Integer % Columns — Correct by Design</w:t>
            </w:r>
          </w:p>
          <w:p w14:paraId="39973674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The "% of Pre-Pandemic" columns store whole numbers (e.g. 97, 143) — not decimals. This is intentional: the values represent percentage points, not ratios. Converting them to float (0.97) would break all percentage-based visuals.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Decision: keep as int, apply % label in formatting only.</w:t>
            </w:r>
          </w:p>
        </w:tc>
      </w:tr>
      <w:tr w:rsidR="00A147E8" w14:paraId="629EF8C7" w14:textId="77777777">
        <w:trPr>
          <w:trHeight w:val="152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0891B2"/>
            </w:tcBorders>
            <w:shd w:val="clear" w:color="auto" w:fill="F8FAFF"/>
          </w:tcPr>
          <w:p w14:paraId="16B821A9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lastRenderedPageBreak/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0891B2"/>
              <w:bottom w:val="nil"/>
              <w:right w:val="nil"/>
            </w:tcBorders>
            <w:shd w:val="clear" w:color="auto" w:fill="F8FAFF"/>
            <w:vAlign w:val="center"/>
          </w:tcPr>
          <w:p w14:paraId="30F00A2A" w14:textId="77777777" w:rsidR="00A147E8" w:rsidRDefault="00D71821">
            <w:pPr>
              <w:spacing w:after="91"/>
              <w:ind w:left="162"/>
            </w:pPr>
            <w:r>
              <w:rPr>
                <w:rFonts w:ascii="Arial" w:eastAsia="Arial" w:hAnsi="Arial" w:cs="Arial"/>
                <w:b/>
                <w:color w:val="0891B2"/>
                <w:sz w:val="20"/>
              </w:rPr>
              <w:t xml:space="preserve">Ridership </w:t>
            </w:r>
            <w:r>
              <w:rPr>
                <w:rFonts w:ascii="Segoe UI Symbol" w:eastAsia="Segoe UI Symbol" w:hAnsi="Segoe UI Symbol" w:cs="Segoe UI Symbol"/>
                <w:color w:val="0891B2"/>
                <w:sz w:val="20"/>
              </w:rPr>
              <w:t>≠</w:t>
            </w:r>
            <w:r>
              <w:rPr>
                <w:rFonts w:ascii="Arial" w:eastAsia="Arial" w:hAnsi="Arial" w:cs="Arial"/>
                <w:b/>
                <w:color w:val="0891B2"/>
                <w:sz w:val="20"/>
              </w:rPr>
              <w:t xml:space="preserve"> Vehicle Traffic</w:t>
            </w:r>
          </w:p>
          <w:p w14:paraId="03C2C8D3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Bridges &amp; Tunnels measures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vehicle crossings</w:t>
            </w:r>
            <w:r>
              <w:rPr>
                <w:rFonts w:ascii="Arial" w:eastAsia="Arial" w:hAnsi="Arial" w:cs="Arial"/>
                <w:color w:val="1E293B"/>
                <w:sz w:val="19"/>
              </w:rPr>
              <w:t>, not passengers. This makes direct comparisons with other modes misleading. In Power BI, this required separate axis scaling and clear labeling to prevent misinterpretation.</w:t>
            </w:r>
          </w:p>
        </w:tc>
      </w:tr>
      <w:tr w:rsidR="00A147E8" w14:paraId="36770D51" w14:textId="77777777">
        <w:trPr>
          <w:trHeight w:val="152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D97706"/>
            </w:tcBorders>
            <w:shd w:val="clear" w:color="auto" w:fill="F8FAFF"/>
          </w:tcPr>
          <w:p w14:paraId="07BAD7FE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  <w:p w14:paraId="25FCDBC1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8FAFF"/>
            <w:vAlign w:val="center"/>
          </w:tcPr>
          <w:p w14:paraId="70874298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D97706"/>
                <w:sz w:val="20"/>
              </w:rPr>
              <w:t>Estimated Ridership — Not Exact Counts</w:t>
            </w:r>
          </w:p>
          <w:p w14:paraId="1012A600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All ridership figures are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estimates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based on MetroCard swipes and OMNY taps — they exclude fare evaders, paratransit no-shows, and irregular entries. This limits precision but is sufficient for trend analysis.</w:t>
            </w:r>
          </w:p>
        </w:tc>
      </w:tr>
      <w:tr w:rsidR="00A147E8" w14:paraId="6C998599" w14:textId="77777777">
        <w:trPr>
          <w:trHeight w:val="152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16A34A"/>
            </w:tcBorders>
            <w:shd w:val="clear" w:color="auto" w:fill="F8FAFF"/>
          </w:tcPr>
          <w:p w14:paraId="1046A290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16A34A"/>
              <w:bottom w:val="nil"/>
              <w:right w:val="nil"/>
            </w:tcBorders>
            <w:shd w:val="clear" w:color="auto" w:fill="F8FAFF"/>
            <w:vAlign w:val="center"/>
          </w:tcPr>
          <w:p w14:paraId="00D72264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16A34A"/>
                <w:sz w:val="20"/>
              </w:rPr>
              <w:t>Day-of-Week Comparability</w:t>
            </w:r>
          </w:p>
          <w:p w14:paraId="584F1305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Pre-pandemic % is calculated by comparing each day to the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same day of week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in the same calendar period of 2019. This controls for weekend effects, holidays, and seasonal variation — but means a "100%" value on a quiet Sunday </w:t>
            </w:r>
            <w:r>
              <w:rPr>
                <w:rFonts w:ascii="Segoe UI Symbol" w:eastAsia="Segoe UI Symbol" w:hAnsi="Segoe UI Symbol" w:cs="Segoe UI Symbol"/>
                <w:color w:val="1E293B"/>
                <w:sz w:val="19"/>
              </w:rPr>
              <w:t>≠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100% on a busy Monday.</w:t>
            </w:r>
          </w:p>
        </w:tc>
      </w:tr>
      <w:tr w:rsidR="00A147E8" w14:paraId="51C3CF1F" w14:textId="77777777">
        <w:trPr>
          <w:trHeight w:val="152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DC2626"/>
            </w:tcBorders>
            <w:shd w:val="clear" w:color="auto" w:fill="F8FAFF"/>
          </w:tcPr>
          <w:p w14:paraId="58A741A1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DC2626"/>
              <w:bottom w:val="nil"/>
              <w:right w:val="nil"/>
            </w:tcBorders>
            <w:shd w:val="clear" w:color="auto" w:fill="F8FAFF"/>
            <w:vAlign w:val="center"/>
          </w:tcPr>
          <w:p w14:paraId="238DB1DB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DC2626"/>
                <w:sz w:val="20"/>
              </w:rPr>
              <w:t>Data Coverage Gap — Bus Ridership April–August 2020</w:t>
            </w:r>
          </w:p>
          <w:p w14:paraId="0DECD569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Bus ridership data shows near-zero values (under 6,000) for April–July 2020, then jumps to ~935,000 in September. This appears to be a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reporting methodology change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by MTA, not an actual ridership anomaly. These months were excluded from bus trend analysis.</w:t>
            </w:r>
          </w:p>
        </w:tc>
      </w:tr>
      <w:tr w:rsidR="00A147E8" w14:paraId="70F0C620" w14:textId="77777777">
        <w:trPr>
          <w:trHeight w:val="152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7C3AED"/>
            </w:tcBorders>
            <w:shd w:val="clear" w:color="auto" w:fill="F8FAFF"/>
          </w:tcPr>
          <w:p w14:paraId="5FEDB805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7C3AED"/>
              <w:bottom w:val="nil"/>
              <w:right w:val="nil"/>
            </w:tcBorders>
            <w:shd w:val="clear" w:color="auto" w:fill="F8FAFF"/>
            <w:vAlign w:val="center"/>
          </w:tcPr>
          <w:p w14:paraId="3DB976E7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7C3AED"/>
                <w:sz w:val="20"/>
              </w:rPr>
              <w:t>No External Variables in Dataset</w:t>
            </w:r>
          </w:p>
          <w:p w14:paraId="0F1342A7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The dataset contains only ridership counts — no employment data, remote work rates, weather, or policy events. All behavioral interpretations (WFH effect, car preference) are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inferred from patterns</w:t>
            </w:r>
            <w:r>
              <w:rPr>
                <w:rFonts w:ascii="Arial" w:eastAsia="Arial" w:hAnsi="Arial" w:cs="Arial"/>
                <w:color w:val="1E293B"/>
                <w:sz w:val="19"/>
              </w:rPr>
              <w:t>, not directly measurable from this data alone.</w:t>
            </w:r>
          </w:p>
        </w:tc>
      </w:tr>
    </w:tbl>
    <w:p w14:paraId="5FEDA213" w14:textId="77777777" w:rsidR="00A147E8" w:rsidRDefault="00D71821">
      <w:pPr>
        <w:pStyle w:val="Heading1"/>
        <w:ind w:left="341" w:hanging="356"/>
      </w:pPr>
      <w:r>
        <w:t>What We Built in Power BI</w:t>
      </w:r>
    </w:p>
    <w:p w14:paraId="3A6F94D6" w14:textId="77777777" w:rsidR="00A147E8" w:rsidRDefault="00D71821">
      <w:pPr>
        <w:spacing w:after="179"/>
      </w:pPr>
      <w:r>
        <w:rPr>
          <w:noProof/>
        </w:rPr>
        <mc:AlternateContent>
          <mc:Choice Requires="wpg">
            <w:drawing>
              <wp:inline distT="0" distB="0" distL="0" distR="0" wp14:anchorId="6D8C6B0A" wp14:editId="3EF346A2">
                <wp:extent cx="6111600" cy="12700"/>
                <wp:effectExtent l="0" t="0" r="0" b="0"/>
                <wp:docPr id="8439" name="Group 8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9" style="width:481.228pt;height:1pt;mso-position-horizontal-relative:char;mso-position-vertical-relative:line" coordsize="61116,127">
                <v:shape id="Shape 240" style="position:absolute;width:61116;height:0;left:0;top:0;" coordsize="6111600,0" path="m0,0l6111600,0">
                  <v:stroke weight="1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65AD98BA" w14:textId="77777777" w:rsidR="00A147E8" w:rsidRDefault="00D71821">
      <w:pPr>
        <w:spacing w:after="270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>The Power BI dashboard was designed to make 1,706 days of transit data instantly navigable for a non-technical audience — giving decision-makers a clear view of recovery progress across all 7 transit modes without requiring any data background.</w:t>
      </w:r>
    </w:p>
    <w:p w14:paraId="4FC9003F" w14:textId="77777777" w:rsidR="00A147E8" w:rsidRDefault="00D71821">
      <w:pPr>
        <w:pStyle w:val="Heading2"/>
        <w:spacing w:after="64"/>
        <w:ind w:left="385" w:hanging="400"/>
      </w:pPr>
      <w:r>
        <w:t>Data Model &amp; Preparation</w:t>
      </w:r>
    </w:p>
    <w:p w14:paraId="6D1B4135" w14:textId="77777777" w:rsidR="00A147E8" w:rsidRDefault="00D71821">
      <w:pPr>
        <w:spacing w:after="121" w:line="265" w:lineRule="auto"/>
        <w:ind w:left="265" w:right="8" w:hanging="200"/>
      </w:pPr>
      <w:r>
        <w:rPr>
          <w:rFonts w:ascii="Arial" w:eastAsia="Arial" w:hAnsi="Arial" w:cs="Arial"/>
          <w:b/>
          <w:color w:val="1E293B"/>
          <w:sz w:val="20"/>
        </w:rPr>
        <w:t>Step 1 — Data Import:</w:t>
      </w:r>
      <w:r>
        <w:rPr>
          <w:rFonts w:ascii="Arial" w:eastAsia="Arial" w:hAnsi="Arial" w:cs="Arial"/>
          <w:color w:val="1E293B"/>
          <w:sz w:val="20"/>
        </w:rPr>
        <w:t xml:space="preserve"> Loaded the MTA CSV directly into Power BI via Get Data </w:t>
      </w:r>
      <w:r>
        <w:rPr>
          <w:rFonts w:ascii="Segoe UI Symbol" w:eastAsia="Segoe UI Symbol" w:hAnsi="Segoe UI Symbol" w:cs="Segoe UI Symbol"/>
          <w:color w:val="1E293B"/>
          <w:sz w:val="20"/>
        </w:rPr>
        <w:t>→</w:t>
      </w:r>
      <w:r>
        <w:rPr>
          <w:rFonts w:ascii="Arial" w:eastAsia="Arial" w:hAnsi="Arial" w:cs="Arial"/>
          <w:color w:val="1E293B"/>
          <w:sz w:val="20"/>
        </w:rPr>
        <w:t xml:space="preserve"> Text/CSV. The date column was automatically parsed as a Date type.</w:t>
      </w:r>
    </w:p>
    <w:p w14:paraId="49A183AB" w14:textId="77777777" w:rsidR="00A147E8" w:rsidRDefault="00D71821">
      <w:pPr>
        <w:spacing w:after="122" w:line="265" w:lineRule="auto"/>
        <w:ind w:left="265" w:right="8" w:hanging="200"/>
      </w:pPr>
      <w:r>
        <w:rPr>
          <w:rFonts w:ascii="Arial" w:eastAsia="Arial" w:hAnsi="Arial" w:cs="Arial"/>
          <w:b/>
          <w:color w:val="1E293B"/>
          <w:sz w:val="20"/>
        </w:rPr>
        <w:t>Step 2 — Calendar Table:</w:t>
      </w:r>
      <w:r>
        <w:rPr>
          <w:rFonts w:ascii="Arial" w:eastAsia="Arial" w:hAnsi="Arial" w:cs="Arial"/>
          <w:color w:val="1E293B"/>
          <w:sz w:val="20"/>
        </w:rPr>
        <w:t xml:space="preserve"> Created a Date table using CALENDAR() DAX to enable proper time intelligence (year-over-year, month filtering via slicers).</w:t>
      </w:r>
    </w:p>
    <w:p w14:paraId="544502DF" w14:textId="77777777" w:rsidR="00A147E8" w:rsidRDefault="00D71821">
      <w:pPr>
        <w:spacing w:after="122" w:line="265" w:lineRule="auto"/>
        <w:ind w:left="265" w:right="8" w:hanging="200"/>
      </w:pPr>
      <w:r>
        <w:rPr>
          <w:rFonts w:ascii="Arial" w:eastAsia="Arial" w:hAnsi="Arial" w:cs="Arial"/>
          <w:b/>
          <w:color w:val="1E293B"/>
          <w:sz w:val="20"/>
        </w:rPr>
        <w:t>Step 3 — Column Typing:</w:t>
      </w:r>
      <w:r>
        <w:rPr>
          <w:rFonts w:ascii="Arial" w:eastAsia="Arial" w:hAnsi="Arial" w:cs="Arial"/>
          <w:color w:val="1E293B"/>
          <w:sz w:val="20"/>
        </w:rPr>
        <w:t xml:space="preserve"> All ridership columns kept as Whole Number. All % columns kept as Whole Number with % display format applied at the visual level — NOT converted to decimal, to avoid the ×100 multiplication error.</w:t>
      </w:r>
    </w:p>
    <w:p w14:paraId="768C1759" w14:textId="77777777" w:rsidR="00A147E8" w:rsidRDefault="00D71821">
      <w:pPr>
        <w:spacing w:after="87" w:line="265" w:lineRule="auto"/>
        <w:ind w:left="265" w:right="8" w:hanging="200"/>
      </w:pPr>
      <w:r>
        <w:rPr>
          <w:rFonts w:ascii="Arial" w:eastAsia="Arial" w:hAnsi="Arial" w:cs="Arial"/>
          <w:b/>
          <w:color w:val="1E293B"/>
          <w:sz w:val="20"/>
        </w:rPr>
        <w:t>Step 4 — Calculated Columns:</w:t>
      </w:r>
      <w:r>
        <w:rPr>
          <w:rFonts w:ascii="Arial" w:eastAsia="Arial" w:hAnsi="Arial" w:cs="Arial"/>
          <w:color w:val="1E293B"/>
          <w:sz w:val="20"/>
        </w:rPr>
        <w:t xml:space="preserve"> Added Year and Month Name columns using YEAR([Date]) and FORMAT([Date], "MMMM") for time-based slicing.</w:t>
      </w:r>
    </w:p>
    <w:p w14:paraId="7768B893" w14:textId="77777777" w:rsidR="00A147E8" w:rsidRDefault="00D71821">
      <w:pPr>
        <w:spacing w:after="516" w:line="265" w:lineRule="auto"/>
        <w:ind w:left="265" w:right="8" w:hanging="200"/>
      </w:pPr>
      <w:r>
        <w:rPr>
          <w:rFonts w:ascii="Arial" w:eastAsia="Arial" w:hAnsi="Arial" w:cs="Arial"/>
          <w:b/>
          <w:color w:val="1E293B"/>
          <w:sz w:val="20"/>
        </w:rPr>
        <w:lastRenderedPageBreak/>
        <w:t>Step 5 — Measures:</w:t>
      </w:r>
      <w:r>
        <w:rPr>
          <w:rFonts w:ascii="Arial" w:eastAsia="Arial" w:hAnsi="Arial" w:cs="Arial"/>
          <w:color w:val="1E293B"/>
          <w:sz w:val="20"/>
        </w:rPr>
        <w:t xml:space="preserve"> Created DAX measures for average ridership, max/min values, and conditional recovery status labels (Recovered / Partial / Struggling).</w:t>
      </w:r>
    </w:p>
    <w:p w14:paraId="077DDA5D" w14:textId="77777777" w:rsidR="00A147E8" w:rsidRDefault="00D71821">
      <w:pPr>
        <w:pStyle w:val="Heading2"/>
        <w:ind w:left="385" w:hanging="400"/>
      </w:pPr>
      <w:r>
        <w:t>Key DAX Measures Used</w:t>
      </w:r>
    </w:p>
    <w:tbl>
      <w:tblPr>
        <w:tblStyle w:val="TableGrid"/>
        <w:tblW w:w="8050" w:type="dxa"/>
        <w:tblInd w:w="787" w:type="dxa"/>
        <w:tblCellMar>
          <w:top w:w="142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380"/>
        <w:gridCol w:w="3969"/>
        <w:gridCol w:w="1701"/>
      </w:tblGrid>
      <w:tr w:rsidR="00A147E8" w14:paraId="5F40BC9E" w14:textId="77777777">
        <w:trPr>
          <w:trHeight w:val="440"/>
        </w:trPr>
        <w:tc>
          <w:tcPr>
            <w:tcW w:w="238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022ED81D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Measure Name</w:t>
            </w:r>
          </w:p>
        </w:tc>
        <w:tc>
          <w:tcPr>
            <w:tcW w:w="3969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5A257819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DAX Formula</w:t>
            </w:r>
          </w:p>
        </w:tc>
        <w:tc>
          <w:tcPr>
            <w:tcW w:w="170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6A7D2D53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Purpose</w:t>
            </w:r>
          </w:p>
        </w:tc>
      </w:tr>
      <w:tr w:rsidR="00A147E8" w14:paraId="6F4D4A42" w14:textId="77777777">
        <w:trPr>
          <w:trHeight w:val="440"/>
        </w:trPr>
        <w:tc>
          <w:tcPr>
            <w:tcW w:w="238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5190CFB7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Avg Subway Ridership</w:t>
            </w:r>
          </w:p>
        </w:tc>
        <w:tc>
          <w:tcPr>
            <w:tcW w:w="3969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3B7D82E9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AVERAGE([Subways: Total Estimated Ridership])</w:t>
            </w:r>
          </w:p>
        </w:tc>
        <w:tc>
          <w:tcPr>
            <w:tcW w:w="170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5913FFE8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KPI card</w:t>
            </w:r>
          </w:p>
        </w:tc>
      </w:tr>
      <w:tr w:rsidR="00A147E8" w14:paraId="57A0AC05" w14:textId="77777777">
        <w:trPr>
          <w:trHeight w:val="440"/>
        </w:trPr>
        <w:tc>
          <w:tcPr>
            <w:tcW w:w="238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0326C429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Max Ridership Day</w:t>
            </w:r>
          </w:p>
        </w:tc>
        <w:tc>
          <w:tcPr>
            <w:tcW w:w="3969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014007E1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MAXX(ALL(MTA), [Subways: Total Estimated Ridership])</w:t>
            </w:r>
          </w:p>
        </w:tc>
        <w:tc>
          <w:tcPr>
            <w:tcW w:w="170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107AF1F3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Peak insight</w:t>
            </w:r>
          </w:p>
        </w:tc>
      </w:tr>
      <w:tr w:rsidR="00A147E8" w14:paraId="5CBDD147" w14:textId="77777777">
        <w:trPr>
          <w:trHeight w:val="680"/>
        </w:trPr>
        <w:tc>
          <w:tcPr>
            <w:tcW w:w="238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</w:tcPr>
          <w:p w14:paraId="49F42419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Recovery Status</w:t>
            </w:r>
          </w:p>
        </w:tc>
        <w:tc>
          <w:tcPr>
            <w:tcW w:w="3969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  <w:vAlign w:val="center"/>
          </w:tcPr>
          <w:p w14:paraId="3619AECC" w14:textId="77777777" w:rsidR="00A147E8" w:rsidRDefault="00D71821">
            <w:pPr>
              <w:spacing w:after="54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IF([Avg % Pre-Pandemic] &gt;= 90, "Recovered",</w:t>
            </w:r>
          </w:p>
          <w:p w14:paraId="1253882D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 xml:space="preserve">  IF([Avg % Pre-Pandemic] &gt;= 60, "Partial", "Struggling"))</w:t>
            </w:r>
          </w:p>
        </w:tc>
        <w:tc>
          <w:tcPr>
            <w:tcW w:w="170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FFFFF"/>
          </w:tcPr>
          <w:p w14:paraId="299BE570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Status labeling</w:t>
            </w:r>
          </w:p>
        </w:tc>
      </w:tr>
      <w:tr w:rsidR="00A147E8" w14:paraId="4CF2F3B7" w14:textId="77777777">
        <w:trPr>
          <w:trHeight w:val="440"/>
        </w:trPr>
        <w:tc>
          <w:tcPr>
            <w:tcW w:w="238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79127797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YoY Change %</w:t>
            </w:r>
          </w:p>
        </w:tc>
        <w:tc>
          <w:tcPr>
            <w:tcW w:w="3969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5482E426" w14:textId="77777777" w:rsidR="00A147E8" w:rsidRDefault="00D71821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1E293B"/>
                <w:sz w:val="15"/>
              </w:rPr>
              <w:t>DIVIDE([Avg This Year] - [Avg Last Year], [Avg Last Year]</w:t>
            </w:r>
          </w:p>
        </w:tc>
        <w:tc>
          <w:tcPr>
            <w:tcW w:w="1701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EFF6FF"/>
            <w:vAlign w:val="center"/>
          </w:tcPr>
          <w:p w14:paraId="3C776F3B" w14:textId="77777777" w:rsidR="00A147E8" w:rsidRDefault="00D71821">
            <w:pPr>
              <w:spacing w:after="0"/>
              <w:ind w:left="-5"/>
            </w:pPr>
            <w:r>
              <w:rPr>
                <w:rFonts w:ascii="Arial" w:eastAsia="Arial" w:hAnsi="Arial" w:cs="Arial"/>
                <w:color w:val="1E293B"/>
                <w:sz w:val="15"/>
              </w:rPr>
              <w:t>) Yearly trend</w:t>
            </w:r>
          </w:p>
        </w:tc>
      </w:tr>
    </w:tbl>
    <w:p w14:paraId="1F7C7FAF" w14:textId="77777777" w:rsidR="00A147E8" w:rsidRDefault="00D71821">
      <w:pPr>
        <w:spacing w:after="267"/>
        <w:ind w:left="-5" w:hanging="10"/>
      </w:pPr>
      <w:r>
        <w:rPr>
          <w:rFonts w:ascii="Arial" w:eastAsia="Arial" w:hAnsi="Arial" w:cs="Arial"/>
          <w:b/>
          <w:color w:val="2563EB"/>
          <w:sz w:val="24"/>
        </w:rPr>
        <w:t>3.3 Dashboard Pages &amp; Visuals</w:t>
      </w:r>
    </w:p>
    <w:p w14:paraId="063B2C01" w14:textId="77777777" w:rsidR="00A147E8" w:rsidRDefault="00D71821">
      <w:pPr>
        <w:pStyle w:val="Heading2"/>
        <w:numPr>
          <w:ilvl w:val="0"/>
          <w:numId w:val="0"/>
        </w:numPr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Overview Page</w:t>
      </w:r>
    </w:p>
    <w:p w14:paraId="2713C428" w14:textId="77777777" w:rsidR="00A147E8" w:rsidRDefault="00D71821">
      <w:pPr>
        <w:numPr>
          <w:ilvl w:val="0"/>
          <w:numId w:val="1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KPI Cards: Peak subway day (5.5M), Lowest day (198K), B&amp;T; recovery (93.4%), Metro-North (51.1%)</w:t>
      </w:r>
    </w:p>
    <w:p w14:paraId="3C59094C" w14:textId="77777777" w:rsidR="00A147E8" w:rsidRDefault="00D71821">
      <w:pPr>
        <w:numPr>
          <w:ilvl w:val="0"/>
          <w:numId w:val="1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Bar Chart: Avg % of pre-pandemic per mode — sorted descending</w:t>
      </w:r>
    </w:p>
    <w:p w14:paraId="3EC68F7C" w14:textId="77777777" w:rsidR="00A147E8" w:rsidRDefault="00D71821">
      <w:pPr>
        <w:numPr>
          <w:ilvl w:val="0"/>
          <w:numId w:val="1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Line Chart: Subway ridership trend 2020–2024 with date slicer</w:t>
      </w:r>
    </w:p>
    <w:p w14:paraId="627B70F2" w14:textId="77777777" w:rsidR="00A147E8" w:rsidRDefault="00D71821">
      <w:pPr>
        <w:numPr>
          <w:ilvl w:val="0"/>
          <w:numId w:val="1"/>
        </w:numPr>
        <w:spacing w:after="472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Insight Text Cards: 4 key findings with icons</w:t>
      </w:r>
    </w:p>
    <w:p w14:paraId="34A8D925" w14:textId="77777777" w:rsidR="00A147E8" w:rsidRDefault="00D71821">
      <w:pPr>
        <w:pStyle w:val="Heading2"/>
        <w:numPr>
          <w:ilvl w:val="0"/>
          <w:numId w:val="0"/>
        </w:numPr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Trend Analysis Page</w:t>
      </w:r>
    </w:p>
    <w:p w14:paraId="4C9F2321" w14:textId="77777777" w:rsidR="00A147E8" w:rsidRDefault="00D71821">
      <w:pPr>
        <w:numPr>
          <w:ilvl w:val="0"/>
          <w:numId w:val="2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Multi-line chart: All 7 modes % recovery on same axis — shows divergence clearly</w:t>
      </w:r>
    </w:p>
    <w:p w14:paraId="101375CB" w14:textId="77777777" w:rsidR="00A147E8" w:rsidRDefault="00D71821">
      <w:pPr>
        <w:numPr>
          <w:ilvl w:val="0"/>
          <w:numId w:val="2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Mode selector slicer for filtering to individual transit types</w:t>
      </w:r>
    </w:p>
    <w:p w14:paraId="559AA730" w14:textId="77777777" w:rsidR="00A147E8" w:rsidRDefault="00D71821">
      <w:pPr>
        <w:numPr>
          <w:ilvl w:val="0"/>
          <w:numId w:val="2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Clustered Bar: Year-over-year ridership by mode (2020–2024)</w:t>
      </w:r>
    </w:p>
    <w:p w14:paraId="290CD05A" w14:textId="77777777" w:rsidR="00A147E8" w:rsidRDefault="00D71821">
      <w:pPr>
        <w:numPr>
          <w:ilvl w:val="0"/>
          <w:numId w:val="2"/>
        </w:numPr>
        <w:spacing w:after="473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100% Reference Line added as constant line to show full recovery threshold</w:t>
      </w:r>
    </w:p>
    <w:p w14:paraId="6BA1E675" w14:textId="77777777" w:rsidR="00A147E8" w:rsidRDefault="00D71821">
      <w:pPr>
        <w:pStyle w:val="Heading2"/>
        <w:numPr>
          <w:ilvl w:val="0"/>
          <w:numId w:val="0"/>
        </w:numPr>
        <w:ind w:left="-5"/>
      </w:pPr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Recovery Scorecard Page</w:t>
      </w:r>
    </w:p>
    <w:p w14:paraId="3D130792" w14:textId="77777777" w:rsidR="00A147E8" w:rsidRDefault="00D71821">
      <w:pPr>
        <w:numPr>
          <w:ilvl w:val="0"/>
          <w:numId w:val="3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Table visual with conditional formatting: Green (&gt;90%), Yellow (60-90%), Red (&lt;60%)</w:t>
      </w:r>
    </w:p>
    <w:p w14:paraId="1E1649A0" w14:textId="77777777" w:rsidR="00A147E8" w:rsidRDefault="00D71821">
      <w:pPr>
        <w:numPr>
          <w:ilvl w:val="0"/>
          <w:numId w:val="3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Gauge visual: Subway recovery at 71% vs 100% target</w:t>
      </w:r>
    </w:p>
    <w:p w14:paraId="581353F1" w14:textId="77777777" w:rsidR="00A147E8" w:rsidRDefault="00D71821">
      <w:pPr>
        <w:numPr>
          <w:ilvl w:val="0"/>
          <w:numId w:val="3"/>
        </w:numPr>
        <w:spacing w:after="8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Stacked area chart: Recovery accumulation over 4 years</w:t>
      </w:r>
    </w:p>
    <w:p w14:paraId="78883610" w14:textId="77777777" w:rsidR="00A147E8" w:rsidRDefault="00D71821">
      <w:pPr>
        <w:numPr>
          <w:ilvl w:val="0"/>
          <w:numId w:val="3"/>
        </w:numPr>
        <w:spacing w:after="647" w:line="265" w:lineRule="auto"/>
        <w:ind w:right="8" w:hanging="126"/>
      </w:pPr>
      <w:r>
        <w:rPr>
          <w:rFonts w:ascii="Arial" w:eastAsia="Arial" w:hAnsi="Arial" w:cs="Arial"/>
          <w:color w:val="1E293B"/>
          <w:sz w:val="20"/>
        </w:rPr>
        <w:t>Summary text: 3 key behavioral insights derived from patterns</w:t>
      </w:r>
    </w:p>
    <w:p w14:paraId="1C8F0B23" w14:textId="77777777" w:rsidR="00A147E8" w:rsidRDefault="00D71821">
      <w:pPr>
        <w:pStyle w:val="Heading1"/>
        <w:ind w:left="341" w:hanging="356"/>
      </w:pPr>
      <w:r>
        <w:t>Key Findings &amp; Insights</w:t>
      </w:r>
    </w:p>
    <w:p w14:paraId="36AAF2FD" w14:textId="77777777" w:rsidR="00A147E8" w:rsidRDefault="00D71821">
      <w:pPr>
        <w:spacing w:after="179"/>
      </w:pPr>
      <w:r>
        <w:rPr>
          <w:noProof/>
        </w:rPr>
        <mc:AlternateContent>
          <mc:Choice Requires="wpg">
            <w:drawing>
              <wp:inline distT="0" distB="0" distL="0" distR="0" wp14:anchorId="15E99330" wp14:editId="3CC06637">
                <wp:extent cx="6111600" cy="12700"/>
                <wp:effectExtent l="0" t="0" r="0" b="0"/>
                <wp:docPr id="7630" name="Group 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329" name="Shape 32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0" style="width:481.228pt;height:1pt;mso-position-horizontal-relative:char;mso-position-vertical-relative:line" coordsize="61116,127">
                <v:shape id="Shape 329" style="position:absolute;width:61116;height:0;left:0;top:0;" coordsize="6111600,0" path="m0,0l6111600,0">
                  <v:stroke weight="1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5738B35E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>The data analysis produced 4 major findings, each supported by specific patterns in the ridership dataset:</w:t>
      </w:r>
    </w:p>
    <w:tbl>
      <w:tblPr>
        <w:tblStyle w:val="TableGrid"/>
        <w:tblW w:w="10318" w:type="dxa"/>
        <w:tblInd w:w="-347" w:type="dxa"/>
        <w:tblCellMar>
          <w:top w:w="173" w:type="dxa"/>
          <w:left w:w="118" w:type="dxa"/>
          <w:bottom w:w="0" w:type="dxa"/>
          <w:right w:w="318" w:type="dxa"/>
        </w:tblCellMar>
        <w:tblLook w:val="04A0" w:firstRow="1" w:lastRow="0" w:firstColumn="1" w:lastColumn="0" w:noHBand="0" w:noVBand="1"/>
      </w:tblPr>
      <w:tblGrid>
        <w:gridCol w:w="712"/>
        <w:gridCol w:w="9606"/>
      </w:tblGrid>
      <w:tr w:rsidR="00A147E8" w14:paraId="2CA18120" w14:textId="77777777">
        <w:trPr>
          <w:trHeight w:val="178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2563EB"/>
            </w:tcBorders>
            <w:shd w:val="clear" w:color="auto" w:fill="F8FAFF"/>
          </w:tcPr>
          <w:p w14:paraId="354606B9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lastRenderedPageBreak/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2563EB"/>
              <w:bottom w:val="nil"/>
              <w:right w:val="nil"/>
            </w:tcBorders>
            <w:shd w:val="clear" w:color="auto" w:fill="F8FAFF"/>
            <w:vAlign w:val="center"/>
          </w:tcPr>
          <w:p w14:paraId="5A7CBE6C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2563EB"/>
                <w:sz w:val="20"/>
              </w:rPr>
              <w:t>Finding 1: Cars Won the Pandemic</w:t>
            </w:r>
          </w:p>
          <w:p w14:paraId="7EA21F8E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Bridges &amp; Tunnels — representing personal vehicle traffic — recovered to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93.4% average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across the full period, while subways averaged only 55.5%. The gap in 2020 alone was 42 percentage points (68% vs 26%). When given a choice, New Yorkers consistently chose driving over shared transit. By 2024, B&amp;T; exceeded 100% of pre-pandemic levels while subways remained at 71%.</w:t>
            </w:r>
          </w:p>
        </w:tc>
      </w:tr>
      <w:tr w:rsidR="00A147E8" w14:paraId="6CD9FD6A" w14:textId="77777777">
        <w:trPr>
          <w:trHeight w:val="178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D97706"/>
            </w:tcBorders>
            <w:shd w:val="clear" w:color="auto" w:fill="F8FAFF"/>
          </w:tcPr>
          <w:p w14:paraId="4AE369E3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8FAFF"/>
            <w:vAlign w:val="center"/>
          </w:tcPr>
          <w:p w14:paraId="11620B53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D97706"/>
                <w:sz w:val="20"/>
              </w:rPr>
              <w:t>Finding 2: Remote Work Created a New Permanent Baseline</w:t>
            </w:r>
          </w:p>
          <w:p w14:paraId="79592B2B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Metro-North — which carries suburban commuters — averaged only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51.1%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of pre-pandemic levels across the full period. This is not a slow recovery: it is a new structural equilibrium. Hybrid work schedules (2–3 days in office) have become permanent for suburban professionals. The data shows Metro-North stopped recovering around 2023 and stabilized, suggesting this IS the new normal.</w:t>
            </w:r>
          </w:p>
        </w:tc>
      </w:tr>
      <w:tr w:rsidR="00A147E8" w14:paraId="408D8C49" w14:textId="77777777">
        <w:trPr>
          <w:trHeight w:val="178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7C3AED"/>
            </w:tcBorders>
            <w:shd w:val="clear" w:color="auto" w:fill="F8FAFF"/>
          </w:tcPr>
          <w:p w14:paraId="01DBC1D3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7C3AED"/>
              <w:bottom w:val="nil"/>
              <w:right w:val="nil"/>
            </w:tcBorders>
            <w:shd w:val="clear" w:color="auto" w:fill="F8FAFF"/>
            <w:vAlign w:val="center"/>
          </w:tcPr>
          <w:p w14:paraId="66A767EF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7C3AED"/>
                <w:sz w:val="20"/>
              </w:rPr>
              <w:t>Finding 3: Paratransit Demand Surged Beyond Pre-Pandemic</w:t>
            </w:r>
          </w:p>
          <w:p w14:paraId="3F4B2314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Access-A-Ride — serving mobility-limited riders — is the only mode that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exceeded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100% of pre-pandemic levels, reaching 126% by 2024. This reflects three factors: NYC's aging population, expanded eligibility criteria post-COVID, and pent-up demand from the period when services were restricted. This is a planning challenge, not just good news.</w:t>
            </w:r>
          </w:p>
        </w:tc>
      </w:tr>
      <w:tr w:rsidR="00A147E8" w14:paraId="0FB6E9ED" w14:textId="77777777">
        <w:trPr>
          <w:trHeight w:val="2040"/>
        </w:trPr>
        <w:tc>
          <w:tcPr>
            <w:tcW w:w="680" w:type="dxa"/>
            <w:tcBorders>
              <w:top w:val="nil"/>
              <w:left w:val="nil"/>
              <w:bottom w:val="nil"/>
              <w:right w:val="single" w:sz="24" w:space="0" w:color="16A34A"/>
            </w:tcBorders>
            <w:shd w:val="clear" w:color="auto" w:fill="F8FAFF"/>
          </w:tcPr>
          <w:p w14:paraId="114B9414" w14:textId="77777777" w:rsidR="00A147E8" w:rsidRDefault="00D71821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32"/>
              </w:rPr>
              <w:t>■</w:t>
            </w:r>
          </w:p>
        </w:tc>
        <w:tc>
          <w:tcPr>
            <w:tcW w:w="9638" w:type="dxa"/>
            <w:tcBorders>
              <w:top w:val="nil"/>
              <w:left w:val="single" w:sz="24" w:space="0" w:color="16A34A"/>
              <w:bottom w:val="nil"/>
              <w:right w:val="nil"/>
            </w:tcBorders>
            <w:shd w:val="clear" w:color="auto" w:fill="F8FAFF"/>
            <w:vAlign w:val="center"/>
          </w:tcPr>
          <w:p w14:paraId="1B7C88A7" w14:textId="77777777" w:rsidR="00A147E8" w:rsidRDefault="00D71821">
            <w:pPr>
              <w:spacing w:after="122"/>
              <w:ind w:left="162"/>
            </w:pPr>
            <w:r>
              <w:rPr>
                <w:rFonts w:ascii="Arial" w:eastAsia="Arial" w:hAnsi="Arial" w:cs="Arial"/>
                <w:b/>
                <w:color w:val="16A34A"/>
                <w:sz w:val="20"/>
              </w:rPr>
              <w:t>Finding 4: Subway Recovery Plateaued at ~71%</w:t>
            </w:r>
          </w:p>
          <w:p w14:paraId="139329CA" w14:textId="77777777" w:rsidR="00A147E8" w:rsidRDefault="00D71821">
            <w:pPr>
              <w:spacing w:after="0"/>
              <w:ind w:left="162" w:right="492"/>
              <w:jc w:val="both"/>
            </w:pPr>
            <w:r>
              <w:rPr>
                <w:rFonts w:ascii="Arial" w:eastAsia="Arial" w:hAnsi="Arial" w:cs="Arial"/>
                <w:color w:val="1E293B"/>
                <w:sz w:val="19"/>
              </w:rPr>
              <w:t xml:space="preserve">Subway ridership recovered steadily from 2020 to 2023, then </w:t>
            </w:r>
            <w:r>
              <w:rPr>
                <w:rFonts w:ascii="Arial" w:eastAsia="Arial" w:hAnsi="Arial" w:cs="Arial"/>
                <w:b/>
                <w:color w:val="1E293B"/>
                <w:sz w:val="19"/>
              </w:rPr>
              <w:t>plateaued around 70–71%</w:t>
            </w:r>
            <w:r>
              <w:rPr>
                <w:rFonts w:ascii="Arial" w:eastAsia="Arial" w:hAnsi="Arial" w:cs="Arial"/>
                <w:color w:val="1E293B"/>
                <w:sz w:val="19"/>
              </w:rPr>
              <w:t xml:space="preserve"> of pre-pandemic levels. Tourism-driven and essential worker trips came back; daily white-collar office commutes did not fully return. The 29% gap is not a recovery lag — it reflects a fundamentally changed commuting culture where millions of office workers now commute 3 days a week instead of 5.</w:t>
            </w:r>
          </w:p>
        </w:tc>
      </w:tr>
    </w:tbl>
    <w:p w14:paraId="7738DDC5" w14:textId="77777777" w:rsidR="00A147E8" w:rsidRDefault="00D71821">
      <w:pPr>
        <w:pStyle w:val="Heading2"/>
        <w:ind w:left="385" w:hanging="400"/>
      </w:pPr>
      <w:r>
        <w:t>Recovery Scorecard by Mode</w:t>
      </w:r>
    </w:p>
    <w:tbl>
      <w:tblPr>
        <w:tblStyle w:val="TableGrid"/>
        <w:tblW w:w="8731" w:type="dxa"/>
        <w:tblInd w:w="447" w:type="dxa"/>
        <w:tblCellMar>
          <w:top w:w="0" w:type="dxa"/>
          <w:left w:w="9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2269"/>
        <w:gridCol w:w="907"/>
        <w:gridCol w:w="907"/>
        <w:gridCol w:w="907"/>
        <w:gridCol w:w="907"/>
        <w:gridCol w:w="1020"/>
        <w:gridCol w:w="1814"/>
      </w:tblGrid>
      <w:tr w:rsidR="00A147E8" w14:paraId="5E48B239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5BA0C301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Transit Mode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4165E1B1" w14:textId="77777777" w:rsidR="00A147E8" w:rsidRDefault="00D71821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2020 Avg 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7C902574" w14:textId="77777777" w:rsidR="00A147E8" w:rsidRDefault="00D71821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2021 Avg 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40F9D165" w14:textId="77777777" w:rsidR="00A147E8" w:rsidRDefault="00D71821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2022 Avg 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4AE2EC14" w14:textId="77777777" w:rsidR="00A147E8" w:rsidRDefault="00D71821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2023 Avg 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7E8793AD" w14:textId="77777777" w:rsidR="00A147E8" w:rsidRDefault="00D71821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2024 Level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1E3A8A"/>
            <w:vAlign w:val="center"/>
          </w:tcPr>
          <w:p w14:paraId="323960F0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Status</w:t>
            </w:r>
          </w:p>
        </w:tc>
      </w:tr>
      <w:tr w:rsidR="00A147E8" w14:paraId="795D5E97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5EA2926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Bridges &amp; Tunnels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339549F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68%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69702BFB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87%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0F541C52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97%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8CF2AFD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EB10467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~101%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DCFCE7"/>
            <w:vAlign w:val="center"/>
          </w:tcPr>
          <w:p w14:paraId="5802AAC0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Fully Recovered</w:t>
            </w:r>
          </w:p>
        </w:tc>
      </w:tr>
      <w:tr w:rsidR="00A147E8" w14:paraId="6A4124C8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0E02B4B4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Access-A-Ride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18DB1BF5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55%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8CC532F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72%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419FE8FF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87%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EBA5DF2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98%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3EB2E88D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~126%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DCFCE7"/>
            <w:vAlign w:val="center"/>
          </w:tcPr>
          <w:p w14:paraId="709048AE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Exceeded Baseline</w:t>
            </w:r>
          </w:p>
        </w:tc>
      </w:tr>
      <w:tr w:rsidR="00A147E8" w14:paraId="56852824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602D0A4F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LIRR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3AF169FE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22%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5A7C0153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43%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624BB500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64%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0D6BB7C4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72%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787589DB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~74%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EF9C3"/>
            <w:vAlign w:val="center"/>
          </w:tcPr>
          <w:p w14:paraId="5036847A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Strong Recovery</w:t>
            </w:r>
          </w:p>
        </w:tc>
      </w:tr>
      <w:tr w:rsidR="00A147E8" w14:paraId="24C8BBB1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4D61D587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Subways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3D497DD3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26%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476CE311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46%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374FCDBB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61%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0B944E83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70%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5394A751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~71%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EF9C3"/>
            <w:vAlign w:val="center"/>
          </w:tcPr>
          <w:p w14:paraId="08E3C351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Partial Recovery</w:t>
            </w:r>
          </w:p>
        </w:tc>
      </w:tr>
      <w:tr w:rsidR="00A147E8" w14:paraId="5781ADCC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43D530CB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Buses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64BDBE20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29%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5E33BE6B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48%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021D0530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60%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E5CAEA6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69%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34A4D03A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~69%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EF9C3"/>
            <w:vAlign w:val="center"/>
          </w:tcPr>
          <w:p w14:paraId="31D51B36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Partial Recovery</w:t>
            </w:r>
          </w:p>
        </w:tc>
      </w:tr>
      <w:tr w:rsidR="00A147E8" w14:paraId="58F9D9B7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4F55A61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Metro-North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73990AF6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18%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51466365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38%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1460066A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57%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42E2D97D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65%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13BE671B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~67%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EF2F2"/>
            <w:vAlign w:val="center"/>
          </w:tcPr>
          <w:p w14:paraId="0A86305B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Stabilized (Low)</w:t>
            </w:r>
          </w:p>
        </w:tc>
      </w:tr>
      <w:tr w:rsidR="00A147E8" w14:paraId="1C2B04D5" w14:textId="77777777">
        <w:trPr>
          <w:trHeight w:val="440"/>
        </w:trPr>
        <w:tc>
          <w:tcPr>
            <w:tcW w:w="2268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04222657" w14:textId="77777777" w:rsidR="00A147E8" w:rsidRDefault="00D71821">
            <w:pPr>
              <w:spacing w:after="0"/>
              <w:ind w:left="111"/>
            </w:pP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  Staten Island Rwy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2D257774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19%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11645830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31%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5197E202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41%</w:t>
            </w:r>
          </w:p>
        </w:tc>
        <w:tc>
          <w:tcPr>
            <w:tcW w:w="907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4AC645E3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48%</w:t>
            </w:r>
          </w:p>
        </w:tc>
        <w:tc>
          <w:tcPr>
            <w:tcW w:w="1020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vAlign w:val="center"/>
          </w:tcPr>
          <w:p w14:paraId="3373E32B" w14:textId="77777777" w:rsidR="00A147E8" w:rsidRDefault="00D71821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1E293B"/>
                <w:sz w:val="16"/>
              </w:rPr>
              <w:t>~50%</w:t>
            </w:r>
          </w:p>
        </w:tc>
        <w:tc>
          <w:tcPr>
            <w:tcW w:w="1814" w:type="dxa"/>
            <w:tcBorders>
              <w:top w:val="single" w:sz="3" w:space="0" w:color="DBEAFE"/>
              <w:left w:val="single" w:sz="3" w:space="0" w:color="DBEAFE"/>
              <w:bottom w:val="single" w:sz="3" w:space="0" w:color="DBEAFE"/>
              <w:right w:val="single" w:sz="3" w:space="0" w:color="DBEAFE"/>
            </w:tcBorders>
            <w:shd w:val="clear" w:color="auto" w:fill="FEE2E2"/>
            <w:vAlign w:val="center"/>
          </w:tcPr>
          <w:p w14:paraId="7FDEA9F4" w14:textId="77777777" w:rsidR="00A147E8" w:rsidRDefault="00D71821">
            <w:pPr>
              <w:spacing w:after="0"/>
              <w:ind w:left="111"/>
            </w:pPr>
            <w:r>
              <w:rPr>
                <w:rFonts w:ascii="Arial" w:eastAsia="Arial" w:hAnsi="Arial" w:cs="Arial"/>
                <w:color w:val="1E293B"/>
                <w:sz w:val="16"/>
              </w:rPr>
              <w:t>Significantly Below</w:t>
            </w:r>
          </w:p>
        </w:tc>
      </w:tr>
    </w:tbl>
    <w:p w14:paraId="3965175A" w14:textId="77777777" w:rsidR="00A147E8" w:rsidRDefault="00D71821">
      <w:pPr>
        <w:pStyle w:val="Heading1"/>
        <w:ind w:left="341" w:hanging="356"/>
      </w:pPr>
      <w:r>
        <w:t>Conclusions &amp; Strategic Implications</w:t>
      </w:r>
    </w:p>
    <w:p w14:paraId="763DA578" w14:textId="77777777" w:rsidR="00A147E8" w:rsidRDefault="00D71821">
      <w:pPr>
        <w:spacing w:after="179"/>
      </w:pPr>
      <w:r>
        <w:rPr>
          <w:noProof/>
        </w:rPr>
        <mc:AlternateContent>
          <mc:Choice Requires="wpg">
            <w:drawing>
              <wp:inline distT="0" distB="0" distL="0" distR="0" wp14:anchorId="3C1E1449" wp14:editId="68FD1939">
                <wp:extent cx="6111600" cy="12700"/>
                <wp:effectExtent l="0" t="0" r="0" b="0"/>
                <wp:docPr id="9344" name="Group 9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4" style="width:481.228pt;height:1pt;mso-position-horizontal-relative:char;mso-position-vertical-relative:line" coordsize="61116,127">
                <v:shape id="Shape 479" style="position:absolute;width:61116;height:0;left:0;top:0;" coordsize="6111600,0" path="m0,0l6111600,0">
                  <v:stroke weight="1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3601DB44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>The MTA isn't just recovering from COVID — it is adapting to a post-COVID city that looks structurally different from the one that existed in February 2020. Three things stand out:</w:t>
      </w:r>
    </w:p>
    <w:tbl>
      <w:tblPr>
        <w:tblStyle w:val="TableGrid"/>
        <w:tblW w:w="9865" w:type="dxa"/>
        <w:tblInd w:w="-120" w:type="dxa"/>
        <w:tblCellMar>
          <w:top w:w="0" w:type="dxa"/>
          <w:left w:w="200" w:type="dxa"/>
          <w:bottom w:w="0" w:type="dxa"/>
          <w:right w:w="240" w:type="dxa"/>
        </w:tblCellMar>
        <w:tblLook w:val="04A0" w:firstRow="1" w:lastRow="0" w:firstColumn="1" w:lastColumn="0" w:noHBand="0" w:noVBand="1"/>
      </w:tblPr>
      <w:tblGrid>
        <w:gridCol w:w="9865"/>
      </w:tblGrid>
      <w:tr w:rsidR="00A147E8" w14:paraId="05042A81" w14:textId="77777777">
        <w:trPr>
          <w:trHeight w:val="520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vAlign w:val="center"/>
          </w:tcPr>
          <w:p w14:paraId="00457E1F" w14:textId="77777777" w:rsidR="00A147E8" w:rsidRDefault="00D7182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lastRenderedPageBreak/>
              <w:t>The Office Commute May Never Fully Return</w:t>
            </w:r>
          </w:p>
        </w:tc>
      </w:tr>
      <w:tr w:rsidR="00A147E8" w14:paraId="11F4377A" w14:textId="77777777">
        <w:trPr>
          <w:trHeight w:val="1100"/>
        </w:trPr>
        <w:tc>
          <w:tcPr>
            <w:tcW w:w="9865" w:type="dxa"/>
            <w:tcBorders>
              <w:top w:val="nil"/>
              <w:left w:val="nil"/>
              <w:bottom w:val="single" w:sz="4" w:space="0" w:color="DBEAFE"/>
              <w:right w:val="nil"/>
            </w:tcBorders>
            <w:shd w:val="clear" w:color="auto" w:fill="F8FAFF"/>
            <w:vAlign w:val="center"/>
          </w:tcPr>
          <w:p w14:paraId="0BDF5608" w14:textId="77777777" w:rsidR="00A147E8" w:rsidRDefault="00D71821">
            <w:pPr>
              <w:spacing w:after="0"/>
              <w:ind w:left="40"/>
              <w:jc w:val="both"/>
            </w:pPr>
            <w:r>
              <w:rPr>
                <w:rFonts w:ascii="Arial" w:eastAsia="Arial" w:hAnsi="Arial" w:cs="Arial"/>
                <w:color w:val="1E293B"/>
                <w:sz w:val="21"/>
              </w:rPr>
              <w:t>Metro-North and LIRR data shows clearly that the Monday-to-Friday, 9-to-5 commute pattern has changed permanently. Hybrid work is not a temporary phase — it is the new contract between employers and suburban workers. Transit planning needs to model for a 3-day commute week, not 5.</w:t>
            </w:r>
          </w:p>
        </w:tc>
      </w:tr>
      <w:tr w:rsidR="00A147E8" w14:paraId="7FF59017" w14:textId="77777777">
        <w:trPr>
          <w:trHeight w:val="520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  <w:vAlign w:val="center"/>
          </w:tcPr>
          <w:p w14:paraId="61010A50" w14:textId="77777777" w:rsidR="00A147E8" w:rsidRDefault="00D7182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Local &amp; Essential Trips Are the New Backbone</w:t>
            </w:r>
          </w:p>
        </w:tc>
      </w:tr>
      <w:tr w:rsidR="00A147E8" w14:paraId="114E7A7E" w14:textId="77777777">
        <w:trPr>
          <w:trHeight w:val="1400"/>
        </w:trPr>
        <w:tc>
          <w:tcPr>
            <w:tcW w:w="9865" w:type="dxa"/>
            <w:tcBorders>
              <w:top w:val="nil"/>
              <w:left w:val="nil"/>
              <w:bottom w:val="single" w:sz="4" w:space="0" w:color="DBEAFE"/>
              <w:right w:val="nil"/>
            </w:tcBorders>
            <w:shd w:val="clear" w:color="auto" w:fill="F8FAFF"/>
            <w:vAlign w:val="center"/>
          </w:tcPr>
          <w:p w14:paraId="0AA5AF9B" w14:textId="77777777" w:rsidR="00A147E8" w:rsidRDefault="00D71821">
            <w:pPr>
              <w:spacing w:after="0"/>
              <w:ind w:left="40"/>
              <w:jc w:val="both"/>
            </w:pPr>
            <w:r>
              <w:rPr>
                <w:rFonts w:ascii="Arial" w:eastAsia="Arial" w:hAnsi="Arial" w:cs="Arial"/>
                <w:color w:val="1E293B"/>
                <w:sz w:val="21"/>
              </w:rPr>
              <w:t>Subway and bus ridership at ~70% is being driven by essential workers, students, and local trips — not white-collar office commuters. This is a more diverse and potentially more recession-resistant ridership base than the old commuter-heavy model. The MTA should invest in reliability and off-peak service for this audience.</w:t>
            </w:r>
          </w:p>
        </w:tc>
      </w:tr>
      <w:tr w:rsidR="00A147E8" w14:paraId="356850E0" w14:textId="77777777">
        <w:trPr>
          <w:trHeight w:val="520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vAlign w:val="center"/>
          </w:tcPr>
          <w:p w14:paraId="0ABDFB8F" w14:textId="77777777" w:rsidR="00A147E8" w:rsidRDefault="00D71821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Paratransit Is a Growing Obligation</w:t>
            </w:r>
          </w:p>
        </w:tc>
      </w:tr>
      <w:tr w:rsidR="00A147E8" w14:paraId="0015A6CE" w14:textId="77777777">
        <w:trPr>
          <w:trHeight w:val="1100"/>
        </w:trPr>
        <w:tc>
          <w:tcPr>
            <w:tcW w:w="9865" w:type="dxa"/>
            <w:tcBorders>
              <w:top w:val="nil"/>
              <w:left w:val="nil"/>
              <w:bottom w:val="single" w:sz="4" w:space="0" w:color="DBEAFE"/>
              <w:right w:val="nil"/>
            </w:tcBorders>
            <w:shd w:val="clear" w:color="auto" w:fill="F8FAFF"/>
            <w:vAlign w:val="center"/>
          </w:tcPr>
          <w:p w14:paraId="7DF3767D" w14:textId="77777777" w:rsidR="00A147E8" w:rsidRDefault="00D71821">
            <w:pPr>
              <w:spacing w:after="0"/>
              <w:ind w:left="40"/>
              <w:jc w:val="both"/>
            </w:pPr>
            <w:r>
              <w:rPr>
                <w:rFonts w:ascii="Arial" w:eastAsia="Arial" w:hAnsi="Arial" w:cs="Arial"/>
                <w:color w:val="1E293B"/>
                <w:sz w:val="21"/>
              </w:rPr>
              <w:t>Access-A-Ride exceeding 100% capacity is both good news and a planning challenge. As NYC's population ages and eligibility expands, paratransit demand will keep growing. Proactive investment in this service is not optional — it is a civil rights and mobility equity obligation.</w:t>
            </w:r>
          </w:p>
        </w:tc>
      </w:tr>
    </w:tbl>
    <w:p w14:paraId="59ACD705" w14:textId="77777777" w:rsidR="00A147E8" w:rsidRDefault="00D71821">
      <w:pPr>
        <w:pStyle w:val="Heading1"/>
        <w:ind w:left="341" w:hanging="356"/>
      </w:pPr>
      <w:r>
        <w:t>Data Notes &amp; Methodology</w:t>
      </w:r>
    </w:p>
    <w:p w14:paraId="56C1BEC5" w14:textId="77777777" w:rsidR="00A147E8" w:rsidRDefault="00D71821">
      <w:pPr>
        <w:spacing w:after="179"/>
      </w:pPr>
      <w:r>
        <w:rPr>
          <w:noProof/>
        </w:rPr>
        <mc:AlternateContent>
          <mc:Choice Requires="wpg">
            <w:drawing>
              <wp:inline distT="0" distB="0" distL="0" distR="0" wp14:anchorId="50BD7E57" wp14:editId="10A4B942">
                <wp:extent cx="6111600" cy="12700"/>
                <wp:effectExtent l="0" t="0" r="0" b="0"/>
                <wp:docPr id="7154" name="Group 7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4" style="width:481.228pt;height:1pt;mso-position-horizontal-relative:char;mso-position-vertical-relative:line" coordsize="61116,127">
                <v:shape id="Shape 593" style="position:absolute;width:61116;height:0;left:0;top:0;" coordsize="6111600,0" path="m0,0l6111600,0">
                  <v:stroke weight="1pt" endcap="round" joinstyle="miter" miterlimit="10" on="true" color="#dbeafe"/>
                  <v:fill on="false" color="#000000" opacity="0"/>
                </v:shape>
              </v:group>
            </w:pict>
          </mc:Fallback>
        </mc:AlternateContent>
      </w:r>
    </w:p>
    <w:p w14:paraId="61C07EE1" w14:textId="77777777" w:rsidR="00A147E8" w:rsidRDefault="00D71821">
      <w:pPr>
        <w:spacing w:after="233" w:line="298" w:lineRule="auto"/>
        <w:ind w:left="-5" w:right="-15" w:hanging="10"/>
        <w:jc w:val="both"/>
      </w:pPr>
      <w:r>
        <w:rPr>
          <w:rFonts w:ascii="Arial" w:eastAsia="Arial" w:hAnsi="Arial" w:cs="Arial"/>
          <w:color w:val="1E293B"/>
          <w:sz w:val="21"/>
        </w:rPr>
        <w:t>This analysis uses the MTA's publicly available Daily Ridership dataset from the MTA Open Data Portal. Recovery percentages compare each day's ridership to the equivalent pre-pandemic day (same day of week, same seasonal period, baseline: early 2020 before COVID restrictions). An average of 100% indicates full recovery; above 100% means demand exceeded the pre-pandemic baseline. Bus ridership anomalies in April–August 2020 are attributed to a reporting methodology change by MTA and should be interpreted wit</w:t>
      </w:r>
      <w:r>
        <w:rPr>
          <w:rFonts w:ascii="Arial" w:eastAsia="Arial" w:hAnsi="Arial" w:cs="Arial"/>
          <w:color w:val="1E293B"/>
          <w:sz w:val="21"/>
        </w:rPr>
        <w:t>h caution.</w:t>
      </w:r>
    </w:p>
    <w:p w14:paraId="30D06C7C" w14:textId="77777777" w:rsidR="00A147E8" w:rsidRDefault="00D71821">
      <w:pPr>
        <w:spacing w:after="3" w:line="298" w:lineRule="auto"/>
        <w:ind w:left="-5" w:right="-15" w:hanging="10"/>
        <w:jc w:val="both"/>
      </w:pPr>
      <w:r>
        <w:rPr>
          <w:rFonts w:ascii="Arial" w:eastAsia="Arial" w:hAnsi="Arial" w:cs="Arial"/>
          <w:b/>
          <w:color w:val="1E293B"/>
          <w:sz w:val="21"/>
        </w:rPr>
        <w:t>Tools used:</w:t>
      </w:r>
      <w:r>
        <w:rPr>
          <w:rFonts w:ascii="Arial" w:eastAsia="Arial" w:hAnsi="Arial" w:cs="Arial"/>
          <w:color w:val="1E293B"/>
          <w:sz w:val="21"/>
        </w:rPr>
        <w:t xml:space="preserve"> Python (pandas, reportlab, openpyxl) for data cleaning and file generation; Power BI for interactive dashboards and DAX measures; Excel for pivot table analysis; HTML/JavaScript for web-based dashboard delivery.</w:t>
      </w:r>
    </w:p>
    <w:sectPr w:rsidR="00A147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7" w:right="1140" w:bottom="1524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441C" w14:textId="77777777" w:rsidR="00D71821" w:rsidRDefault="00D71821">
      <w:pPr>
        <w:spacing w:after="0" w:line="240" w:lineRule="auto"/>
      </w:pPr>
      <w:r>
        <w:separator/>
      </w:r>
    </w:p>
  </w:endnote>
  <w:endnote w:type="continuationSeparator" w:id="0">
    <w:p w14:paraId="35733EDF" w14:textId="77777777" w:rsidR="00D71821" w:rsidRDefault="00D71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82"/>
      <w:tblOverlap w:val="never"/>
      <w:tblW w:w="11906" w:type="dxa"/>
      <w:tblInd w:w="0" w:type="dxa"/>
      <w:tblCellMar>
        <w:top w:w="0" w:type="dxa"/>
        <w:left w:w="115" w:type="dxa"/>
        <w:bottom w:w="19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147E8" w14:paraId="2681DE4C" w14:textId="77777777">
      <w:trPr>
        <w:trHeight w:val="656"/>
      </w:trPr>
      <w:tc>
        <w:tcPr>
          <w:tcW w:w="11906" w:type="dxa"/>
          <w:tcBorders>
            <w:top w:val="single" w:sz="34" w:space="0" w:color="C9A84C"/>
            <w:left w:val="nil"/>
            <w:bottom w:val="nil"/>
            <w:right w:val="nil"/>
          </w:tcBorders>
          <w:shd w:val="clear" w:color="auto" w:fill="F1F5F9"/>
          <w:vAlign w:val="bottom"/>
        </w:tcPr>
        <w:p w14:paraId="77A8EC65" w14:textId="77777777" w:rsidR="00A147E8" w:rsidRDefault="00D71821">
          <w:pPr>
            <w:tabs>
              <w:tab w:val="center" w:pos="4079"/>
              <w:tab w:val="center" w:pos="10702"/>
            </w:tabs>
            <w:spacing w:after="0"/>
          </w:pPr>
          <w:r>
            <w:tab/>
          </w:r>
          <w:r>
            <w:rPr>
              <w:rFonts w:ascii="Arial" w:eastAsia="Arial" w:hAnsi="Arial" w:cs="Arial"/>
              <w:color w:val="64748B"/>
              <w:sz w:val="15"/>
            </w:rPr>
            <w:t>Data: MTA Open Data Portal  ·  Period: March 2020 – October 2024  ·  1,706 days  ·  7 transit modes</w:t>
          </w:r>
          <w:r>
            <w:rPr>
              <w:rFonts w:ascii="Arial" w:eastAsia="Arial" w:hAnsi="Arial" w:cs="Arial"/>
              <w:color w:val="64748B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4748B"/>
              <w:sz w:val="15"/>
            </w:rPr>
            <w:t>1</w:t>
          </w:r>
          <w:r>
            <w:rPr>
              <w:rFonts w:ascii="Arial" w:eastAsia="Arial" w:hAnsi="Arial" w:cs="Arial"/>
              <w:color w:val="64748B"/>
              <w:sz w:val="15"/>
            </w:rPr>
            <w:fldChar w:fldCharType="end"/>
          </w:r>
        </w:p>
      </w:tc>
    </w:tr>
  </w:tbl>
  <w:p w14:paraId="5F39C9F9" w14:textId="77777777" w:rsidR="00A147E8" w:rsidRDefault="00A147E8">
    <w:pPr>
      <w:spacing w:after="0"/>
      <w:ind w:left="-1140" w:right="1076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82"/>
      <w:tblOverlap w:val="never"/>
      <w:tblW w:w="11906" w:type="dxa"/>
      <w:tblInd w:w="0" w:type="dxa"/>
      <w:tblCellMar>
        <w:top w:w="0" w:type="dxa"/>
        <w:left w:w="115" w:type="dxa"/>
        <w:bottom w:w="19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147E8" w14:paraId="666EFFE7" w14:textId="77777777">
      <w:trPr>
        <w:trHeight w:val="656"/>
      </w:trPr>
      <w:tc>
        <w:tcPr>
          <w:tcW w:w="11906" w:type="dxa"/>
          <w:tcBorders>
            <w:top w:val="single" w:sz="34" w:space="0" w:color="C9A84C"/>
            <w:left w:val="nil"/>
            <w:bottom w:val="nil"/>
            <w:right w:val="nil"/>
          </w:tcBorders>
          <w:shd w:val="clear" w:color="auto" w:fill="F1F5F9"/>
          <w:vAlign w:val="bottom"/>
        </w:tcPr>
        <w:p w14:paraId="537C6657" w14:textId="77777777" w:rsidR="00A147E8" w:rsidRDefault="00D71821">
          <w:pPr>
            <w:tabs>
              <w:tab w:val="center" w:pos="4079"/>
              <w:tab w:val="center" w:pos="10702"/>
            </w:tabs>
            <w:spacing w:after="0"/>
          </w:pPr>
          <w:r>
            <w:tab/>
          </w:r>
          <w:r>
            <w:rPr>
              <w:rFonts w:ascii="Arial" w:eastAsia="Arial" w:hAnsi="Arial" w:cs="Arial"/>
              <w:color w:val="64748B"/>
              <w:sz w:val="15"/>
            </w:rPr>
            <w:t>Data: MTA Open Data Portal  ·  Period: March 2020 – October 2024  ·  1,706 days  ·  7 transit modes</w:t>
          </w:r>
          <w:r>
            <w:rPr>
              <w:rFonts w:ascii="Arial" w:eastAsia="Arial" w:hAnsi="Arial" w:cs="Arial"/>
              <w:color w:val="64748B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4748B"/>
              <w:sz w:val="15"/>
            </w:rPr>
            <w:t>1</w:t>
          </w:r>
          <w:r>
            <w:rPr>
              <w:rFonts w:ascii="Arial" w:eastAsia="Arial" w:hAnsi="Arial" w:cs="Arial"/>
              <w:color w:val="64748B"/>
              <w:sz w:val="15"/>
            </w:rPr>
            <w:fldChar w:fldCharType="end"/>
          </w:r>
        </w:p>
      </w:tc>
    </w:tr>
  </w:tbl>
  <w:p w14:paraId="4B5C3B20" w14:textId="77777777" w:rsidR="00A147E8" w:rsidRDefault="00A147E8">
    <w:pPr>
      <w:spacing w:after="0"/>
      <w:ind w:left="-1140" w:right="1076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182"/>
      <w:tblOverlap w:val="never"/>
      <w:tblW w:w="11906" w:type="dxa"/>
      <w:tblInd w:w="0" w:type="dxa"/>
      <w:tblCellMar>
        <w:top w:w="0" w:type="dxa"/>
        <w:left w:w="115" w:type="dxa"/>
        <w:bottom w:w="19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147E8" w14:paraId="007A75FF" w14:textId="77777777">
      <w:trPr>
        <w:trHeight w:val="656"/>
      </w:trPr>
      <w:tc>
        <w:tcPr>
          <w:tcW w:w="11906" w:type="dxa"/>
          <w:tcBorders>
            <w:top w:val="single" w:sz="34" w:space="0" w:color="C9A84C"/>
            <w:left w:val="nil"/>
            <w:bottom w:val="nil"/>
            <w:right w:val="nil"/>
          </w:tcBorders>
          <w:shd w:val="clear" w:color="auto" w:fill="F1F5F9"/>
          <w:vAlign w:val="bottom"/>
        </w:tcPr>
        <w:p w14:paraId="0F6067CA" w14:textId="77777777" w:rsidR="00A147E8" w:rsidRDefault="00D71821">
          <w:pPr>
            <w:tabs>
              <w:tab w:val="center" w:pos="4079"/>
              <w:tab w:val="center" w:pos="10702"/>
            </w:tabs>
            <w:spacing w:after="0"/>
          </w:pPr>
          <w:r>
            <w:tab/>
          </w:r>
          <w:r>
            <w:rPr>
              <w:rFonts w:ascii="Arial" w:eastAsia="Arial" w:hAnsi="Arial" w:cs="Arial"/>
              <w:color w:val="64748B"/>
              <w:sz w:val="15"/>
            </w:rPr>
            <w:t>Data: MTA Open Data Portal  ·  Period: March 2020 – October 2024  ·  1,706 days  ·  7 transit modes</w:t>
          </w:r>
          <w:r>
            <w:rPr>
              <w:rFonts w:ascii="Arial" w:eastAsia="Arial" w:hAnsi="Arial" w:cs="Arial"/>
              <w:color w:val="64748B"/>
              <w:sz w:val="15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4748B"/>
              <w:sz w:val="15"/>
            </w:rPr>
            <w:t>1</w:t>
          </w:r>
          <w:r>
            <w:rPr>
              <w:rFonts w:ascii="Arial" w:eastAsia="Arial" w:hAnsi="Arial" w:cs="Arial"/>
              <w:color w:val="64748B"/>
              <w:sz w:val="15"/>
            </w:rPr>
            <w:fldChar w:fldCharType="end"/>
          </w:r>
        </w:p>
      </w:tc>
    </w:tr>
  </w:tbl>
  <w:p w14:paraId="750D614B" w14:textId="77777777" w:rsidR="00A147E8" w:rsidRDefault="00A147E8">
    <w:pPr>
      <w:spacing w:after="0"/>
      <w:ind w:left="-1140" w:right="107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4AE5" w14:textId="77777777" w:rsidR="00D71821" w:rsidRDefault="00D71821">
      <w:pPr>
        <w:spacing w:after="0" w:line="240" w:lineRule="auto"/>
      </w:pPr>
      <w:r>
        <w:separator/>
      </w:r>
    </w:p>
  </w:footnote>
  <w:footnote w:type="continuationSeparator" w:id="0">
    <w:p w14:paraId="314D7A46" w14:textId="77777777" w:rsidR="00D71821" w:rsidRDefault="00D71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3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147E8" w14:paraId="4BC6AF4B" w14:textId="77777777">
      <w:trPr>
        <w:trHeight w:val="836"/>
      </w:trPr>
      <w:tc>
        <w:tcPr>
          <w:tcW w:w="11906" w:type="dxa"/>
          <w:tcBorders>
            <w:top w:val="nil"/>
            <w:left w:val="nil"/>
            <w:bottom w:val="single" w:sz="45" w:space="0" w:color="C9A84C"/>
            <w:right w:val="nil"/>
          </w:tcBorders>
          <w:shd w:val="clear" w:color="auto" w:fill="1E3A8A"/>
          <w:vAlign w:val="bottom"/>
        </w:tcPr>
        <w:p w14:paraId="4E4BC4B8" w14:textId="77777777" w:rsidR="00A147E8" w:rsidRDefault="00D71821">
          <w:pPr>
            <w:tabs>
              <w:tab w:val="center" w:pos="3731"/>
              <w:tab w:val="center" w:pos="950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8"/>
            </w:rPr>
            <w:t>MTA Daily Ridership · COVID-19 Recovery Analysis · Technical Report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</w:r>
          <w:r>
            <w:rPr>
              <w:rFonts w:ascii="Arial" w:eastAsia="Arial" w:hAnsi="Arial" w:cs="Arial"/>
              <w:color w:val="93C5FD"/>
              <w:sz w:val="16"/>
            </w:rPr>
            <w:t>DEPI Data Analysis Project · 2024–2025</w:t>
          </w:r>
        </w:p>
      </w:tc>
    </w:tr>
  </w:tbl>
  <w:p w14:paraId="203FBD7E" w14:textId="77777777" w:rsidR="00A147E8" w:rsidRDefault="00A147E8">
    <w:pPr>
      <w:spacing w:after="0"/>
      <w:ind w:left="-1140" w:right="1076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3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147E8" w14:paraId="42A3E28C" w14:textId="77777777">
      <w:trPr>
        <w:trHeight w:val="836"/>
      </w:trPr>
      <w:tc>
        <w:tcPr>
          <w:tcW w:w="11906" w:type="dxa"/>
          <w:tcBorders>
            <w:top w:val="nil"/>
            <w:left w:val="nil"/>
            <w:bottom w:val="single" w:sz="45" w:space="0" w:color="C9A84C"/>
            <w:right w:val="nil"/>
          </w:tcBorders>
          <w:shd w:val="clear" w:color="auto" w:fill="1E3A8A"/>
          <w:vAlign w:val="bottom"/>
        </w:tcPr>
        <w:p w14:paraId="0E0A77D5" w14:textId="77777777" w:rsidR="00A147E8" w:rsidRDefault="00D71821">
          <w:pPr>
            <w:tabs>
              <w:tab w:val="center" w:pos="3731"/>
              <w:tab w:val="center" w:pos="950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8"/>
            </w:rPr>
            <w:t>MTA Daily Ridership · COVID-19 Recovery Analysis · Technical Report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</w:r>
          <w:r>
            <w:rPr>
              <w:rFonts w:ascii="Arial" w:eastAsia="Arial" w:hAnsi="Arial" w:cs="Arial"/>
              <w:color w:val="93C5FD"/>
              <w:sz w:val="16"/>
            </w:rPr>
            <w:t>DEPI Data Analysis Project · 2024–2025</w:t>
          </w:r>
        </w:p>
      </w:tc>
    </w:tr>
  </w:tbl>
  <w:p w14:paraId="2436E93B" w14:textId="77777777" w:rsidR="00A147E8" w:rsidRDefault="00A147E8">
    <w:pPr>
      <w:spacing w:after="0"/>
      <w:ind w:left="-1140" w:right="1076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3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147E8" w14:paraId="7A8EA8FB" w14:textId="77777777">
      <w:trPr>
        <w:trHeight w:val="836"/>
      </w:trPr>
      <w:tc>
        <w:tcPr>
          <w:tcW w:w="11906" w:type="dxa"/>
          <w:tcBorders>
            <w:top w:val="nil"/>
            <w:left w:val="nil"/>
            <w:bottom w:val="single" w:sz="45" w:space="0" w:color="C9A84C"/>
            <w:right w:val="nil"/>
          </w:tcBorders>
          <w:shd w:val="clear" w:color="auto" w:fill="1E3A8A"/>
          <w:vAlign w:val="bottom"/>
        </w:tcPr>
        <w:p w14:paraId="587779F6" w14:textId="77777777" w:rsidR="00A147E8" w:rsidRDefault="00D71821">
          <w:pPr>
            <w:tabs>
              <w:tab w:val="center" w:pos="3731"/>
              <w:tab w:val="center" w:pos="9504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FFFFFF"/>
              <w:sz w:val="18"/>
            </w:rPr>
            <w:t>MTA Daily Ridership · COVID-19 Recovery Analysis · Technical Report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</w:r>
          <w:r>
            <w:rPr>
              <w:rFonts w:ascii="Arial" w:eastAsia="Arial" w:hAnsi="Arial" w:cs="Arial"/>
              <w:color w:val="93C5FD"/>
              <w:sz w:val="16"/>
            </w:rPr>
            <w:t>DEPI Data Analysis Project · 2024–2025</w:t>
          </w:r>
        </w:p>
      </w:tc>
    </w:tr>
  </w:tbl>
  <w:p w14:paraId="4DF5A47C" w14:textId="77777777" w:rsidR="00A147E8" w:rsidRDefault="00A147E8">
    <w:pPr>
      <w:spacing w:after="0"/>
      <w:ind w:left="-1140" w:right="107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0979"/>
    <w:multiLevelType w:val="hybridMultilevel"/>
    <w:tmpl w:val="0B80A5F6"/>
    <w:lvl w:ilvl="0" w:tplc="807A3F2A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1661A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3A618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E89ED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453B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1014F6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60FC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D2C890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8E6AFA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4764BF"/>
    <w:multiLevelType w:val="hybridMultilevel"/>
    <w:tmpl w:val="5C96716C"/>
    <w:lvl w:ilvl="0" w:tplc="D8F4C0F0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D665E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1A7AA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84A54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78E808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92361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44C57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360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3E08B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D73616"/>
    <w:multiLevelType w:val="multilevel"/>
    <w:tmpl w:val="75E0A93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E3A8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563E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A205C6"/>
    <w:multiLevelType w:val="hybridMultilevel"/>
    <w:tmpl w:val="22EAB5A4"/>
    <w:lvl w:ilvl="0" w:tplc="F5C4F91E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DEC4B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F82BB8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FE3EC8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7A0DD0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0C436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D43E6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0C953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92103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5058262">
    <w:abstractNumId w:val="3"/>
  </w:num>
  <w:num w:numId="2" w16cid:durableId="1251352572">
    <w:abstractNumId w:val="1"/>
  </w:num>
  <w:num w:numId="3" w16cid:durableId="2092460187">
    <w:abstractNumId w:val="0"/>
  </w:num>
  <w:num w:numId="4" w16cid:durableId="1354454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7E8"/>
    <w:rsid w:val="0077418B"/>
    <w:rsid w:val="00A147E8"/>
    <w:rsid w:val="00D3150F"/>
    <w:rsid w:val="00D7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1B99"/>
  <w15:docId w15:val="{06D2FCF5-9D1C-4A1A-994E-2833F5F8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E3A8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2563E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3A8A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563EB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1558</Words>
  <Characters>8882</Characters>
  <Application>Microsoft Office Word</Application>
  <DocSecurity>0</DocSecurity>
  <Lines>74</Lines>
  <Paragraphs>20</Paragraphs>
  <ScaleCrop>false</ScaleCrop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MTA Daily Ridership — COVID-19 Recovery Technical Report</dc:title>
  <dc:subject>(unspecified)</dc:subject>
  <dc:creator>DEPI Data Analysis Team</dc:creator>
  <cp:keywords/>
  <cp:lastModifiedBy>Mona Wael</cp:lastModifiedBy>
  <cp:revision>2</cp:revision>
  <dcterms:created xsi:type="dcterms:W3CDTF">2026-06-27T23:53:00Z</dcterms:created>
  <dcterms:modified xsi:type="dcterms:W3CDTF">2026-06-27T23:53:00Z</dcterms:modified>
</cp:coreProperties>
</file>