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DAEC" w14:textId="77777777" w:rsidR="001D20F3" w:rsidRDefault="001D20F3">
      <w:pPr>
        <w:spacing w:after="200"/>
      </w:pPr>
    </w:p>
    <w:p w14:paraId="5C7F6FA4" w14:textId="77777777" w:rsidR="001D20F3" w:rsidRDefault="00C01D03">
      <w:pPr>
        <w:spacing w:after="80"/>
        <w:jc w:val="center"/>
      </w:pPr>
      <w:r>
        <w:rPr>
          <w:b/>
          <w:bCs/>
          <w:color w:val="888888"/>
          <w:sz w:val="20"/>
          <w:szCs w:val="20"/>
        </w:rPr>
        <w:t>ARAGEN LIFE SCIENCES</w:t>
      </w:r>
    </w:p>
    <w:p w14:paraId="1FEAD39A" w14:textId="3D97778D" w:rsidR="001D20F3" w:rsidRDefault="00C01D03">
      <w:pPr>
        <w:spacing w:after="80"/>
        <w:jc w:val="center"/>
      </w:pPr>
      <w:r>
        <w:rPr>
          <w:color w:val="888888"/>
          <w:sz w:val="20"/>
          <w:szCs w:val="20"/>
        </w:rPr>
        <w:t xml:space="preserve">Data Science &amp; AI Head </w:t>
      </w:r>
      <w:proofErr w:type="gramStart"/>
      <w:r>
        <w:rPr>
          <w:color w:val="888888"/>
          <w:sz w:val="20"/>
          <w:szCs w:val="20"/>
        </w:rPr>
        <w:t>|  CDO</w:t>
      </w:r>
      <w:proofErr w:type="gramEnd"/>
      <w:r>
        <w:rPr>
          <w:color w:val="888888"/>
          <w:sz w:val="20"/>
          <w:szCs w:val="20"/>
        </w:rPr>
        <w:t xml:space="preserve"> Office</w:t>
      </w:r>
    </w:p>
    <w:p w14:paraId="0EC47970" w14:textId="77777777" w:rsidR="001D20F3" w:rsidRDefault="001D20F3">
      <w:pPr>
        <w:spacing w:after="100"/>
      </w:pPr>
    </w:p>
    <w:p w14:paraId="227383E6" w14:textId="77777777" w:rsidR="001D20F3" w:rsidRDefault="00C01D03">
      <w:pPr>
        <w:pBdr>
          <w:top w:val="single" w:sz="14" w:space="4" w:color="E8703A"/>
          <w:bottom w:val="single" w:sz="14" w:space="4" w:color="E8703A"/>
        </w:pBdr>
        <w:spacing w:before="200" w:after="200"/>
        <w:jc w:val="center"/>
      </w:pPr>
      <w:r>
        <w:rPr>
          <w:b/>
          <w:bCs/>
          <w:color w:val="1A1A2E"/>
          <w:sz w:val="52"/>
          <w:szCs w:val="52"/>
        </w:rPr>
        <w:t>Take-Home Coding Exercise</w:t>
      </w:r>
    </w:p>
    <w:p w14:paraId="4497C999" w14:textId="77777777" w:rsidR="001D20F3" w:rsidRDefault="00C01D03">
      <w:pPr>
        <w:spacing w:before="80" w:after="40"/>
        <w:jc w:val="center"/>
      </w:pPr>
      <w:r>
        <w:rPr>
          <w:color w:val="006D77"/>
          <w:sz w:val="28"/>
          <w:szCs w:val="28"/>
        </w:rPr>
        <w:t>AI/ML Scientist — Structure-Based Drug Design (SBDD)</w:t>
      </w:r>
    </w:p>
    <w:p w14:paraId="0E1DD185" w14:textId="77777777" w:rsidR="001D20F3" w:rsidRDefault="00C01D03">
      <w:pPr>
        <w:spacing w:before="20" w:after="40"/>
        <w:jc w:val="center"/>
      </w:pPr>
      <w:r>
        <w:rPr>
          <w:i/>
          <w:iCs/>
          <w:color w:val="888888"/>
          <w:sz w:val="24"/>
          <w:szCs w:val="24"/>
        </w:rPr>
        <w:t>Senior / Principal Level</w:t>
      </w:r>
    </w:p>
    <w:p w14:paraId="28FB941D" w14:textId="77777777" w:rsidR="001D20F3" w:rsidRDefault="001D20F3">
      <w:pPr>
        <w:spacing w:after="100"/>
      </w:pPr>
    </w:p>
    <w:p w14:paraId="566DEA3C" w14:textId="77777777" w:rsidR="001D20F3" w:rsidRDefault="00C01D03">
      <w:pPr>
        <w:spacing w:after="60"/>
        <w:jc w:val="center"/>
      </w:pPr>
      <w:r>
        <w:rPr>
          <w:color w:val="888888"/>
        </w:rPr>
        <w:t xml:space="preserve">Candidate: </w:t>
      </w:r>
      <w:r>
        <w:rPr>
          <w:b/>
          <w:bCs/>
        </w:rPr>
        <w:t>Sourav Mondal, PhD</w:t>
      </w:r>
    </w:p>
    <w:p w14:paraId="51BFE77F" w14:textId="77777777" w:rsidR="001D20F3" w:rsidRDefault="00C01D03">
      <w:pPr>
        <w:spacing w:after="60"/>
        <w:jc w:val="center"/>
      </w:pPr>
      <w:r>
        <w:rPr>
          <w:color w:val="888888"/>
        </w:rPr>
        <w:t xml:space="preserve">Deadline: </w:t>
      </w:r>
      <w:r>
        <w:rPr>
          <w:b/>
          <w:bCs/>
        </w:rPr>
        <w:t>96 hours from receipt</w:t>
      </w:r>
    </w:p>
    <w:p w14:paraId="4A20DBF6" w14:textId="790F19E1" w:rsidR="001D20F3" w:rsidRDefault="00C01D03">
      <w:pPr>
        <w:spacing w:after="60"/>
        <w:jc w:val="center"/>
      </w:pPr>
      <w:r>
        <w:rPr>
          <w:color w:val="888888"/>
        </w:rPr>
        <w:t xml:space="preserve">Issued by: </w:t>
      </w:r>
      <w:r>
        <w:t>AI Strategy Head</w:t>
      </w:r>
      <w:r>
        <w:t>, Aragen Life Sciences</w:t>
      </w:r>
    </w:p>
    <w:p w14:paraId="69A34AA0" w14:textId="77777777" w:rsidR="001D20F3" w:rsidRDefault="001D20F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0F3" w14:paraId="26A1350A" w14:textId="77777777">
        <w:tblPrEx>
          <w:tblCellMar>
            <w:top w:w="0" w:type="dxa"/>
            <w:bottom w:w="0" w:type="dxa"/>
          </w:tblCellMar>
        </w:tblPrEx>
        <w:tc>
          <w:tcPr>
            <w:tcW w:w="9360" w:type="dxa"/>
            <w:tcBorders>
              <w:top w:val="single" w:sz="10" w:space="0" w:color="E8703A"/>
              <w:left w:val="single" w:sz="10" w:space="0" w:color="E8703A"/>
              <w:right w:val="single" w:sz="10" w:space="0" w:color="E8703A"/>
            </w:tcBorders>
            <w:shd w:val="clear" w:color="auto" w:fill="FFF0E8"/>
            <w:tcMar>
              <w:top w:w="80" w:type="dxa"/>
              <w:left w:w="180" w:type="dxa"/>
              <w:bottom w:w="80" w:type="dxa"/>
              <w:right w:w="180" w:type="dxa"/>
            </w:tcMar>
          </w:tcPr>
          <w:p w14:paraId="3872C94C" w14:textId="77777777" w:rsidR="001D20F3" w:rsidRDefault="00C01D03">
            <w:pPr>
              <w:spacing w:before="30" w:after="30"/>
            </w:pPr>
            <w:r>
              <w:t>This exercise is CONFIDENTIAL. Do not share, publish, or distribute.</w:t>
            </w:r>
          </w:p>
        </w:tc>
      </w:tr>
      <w:tr w:rsidR="001D20F3" w14:paraId="701195BC" w14:textId="77777777">
        <w:tblPrEx>
          <w:tblCellMar>
            <w:top w:w="0" w:type="dxa"/>
            <w:bottom w:w="0" w:type="dxa"/>
          </w:tblCellMar>
        </w:tblPrEx>
        <w:tc>
          <w:tcPr>
            <w:tcW w:w="9360" w:type="dxa"/>
            <w:tcBorders>
              <w:left w:val="single" w:sz="10" w:space="0" w:color="E8703A"/>
              <w:right w:val="single" w:sz="10" w:space="0" w:color="E8703A"/>
            </w:tcBorders>
            <w:shd w:val="clear" w:color="auto" w:fill="FFF0E8"/>
            <w:tcMar>
              <w:top w:w="80" w:type="dxa"/>
              <w:left w:w="180" w:type="dxa"/>
              <w:bottom w:w="80" w:type="dxa"/>
              <w:right w:w="180" w:type="dxa"/>
            </w:tcMar>
          </w:tcPr>
          <w:p w14:paraId="117C7E9A" w14:textId="77777777" w:rsidR="001D20F3" w:rsidRDefault="00C01D03">
            <w:pPr>
              <w:spacing w:before="30" w:after="30"/>
            </w:pPr>
            <w:r>
              <w:t>Submit via a public GitHub repository link with full commit history.</w:t>
            </w:r>
          </w:p>
        </w:tc>
      </w:tr>
      <w:tr w:rsidR="001D20F3" w14:paraId="39213C9C" w14:textId="77777777">
        <w:tblPrEx>
          <w:tblCellMar>
            <w:top w:w="0" w:type="dxa"/>
            <w:bottom w:w="0" w:type="dxa"/>
          </w:tblCellMar>
        </w:tblPrEx>
        <w:tc>
          <w:tcPr>
            <w:tcW w:w="9360" w:type="dxa"/>
            <w:tcBorders>
              <w:left w:val="single" w:sz="10" w:space="0" w:color="E8703A"/>
              <w:right w:val="single" w:sz="10" w:space="0" w:color="E8703A"/>
            </w:tcBorders>
            <w:shd w:val="clear" w:color="auto" w:fill="FFF0E8"/>
            <w:tcMar>
              <w:top w:w="80" w:type="dxa"/>
              <w:left w:w="180" w:type="dxa"/>
              <w:bottom w:w="80" w:type="dxa"/>
              <w:right w:w="180" w:type="dxa"/>
            </w:tcMar>
          </w:tcPr>
          <w:p w14:paraId="6DAA4B8C" w14:textId="77777777" w:rsidR="001D20F3" w:rsidRDefault="00C01D03">
            <w:pPr>
              <w:spacing w:before="30" w:after="30"/>
            </w:pPr>
            <w:r>
              <w:t>All work must be your own. Public datasets and open-source libraries are permitted.</w:t>
            </w:r>
          </w:p>
        </w:tc>
      </w:tr>
      <w:tr w:rsidR="001D20F3" w14:paraId="0015E398" w14:textId="77777777">
        <w:tblPrEx>
          <w:tblCellMar>
            <w:top w:w="0" w:type="dxa"/>
            <w:bottom w:w="0" w:type="dxa"/>
          </w:tblCellMar>
        </w:tblPrEx>
        <w:tc>
          <w:tcPr>
            <w:tcW w:w="9360" w:type="dxa"/>
            <w:tcBorders>
              <w:left w:val="single" w:sz="10" w:space="0" w:color="E8703A"/>
              <w:bottom w:val="single" w:sz="10" w:space="0" w:color="E8703A"/>
              <w:right w:val="single" w:sz="10" w:space="0" w:color="E8703A"/>
            </w:tcBorders>
            <w:shd w:val="clear" w:color="auto" w:fill="FFF0E8"/>
            <w:tcMar>
              <w:top w:w="80" w:type="dxa"/>
              <w:left w:w="180" w:type="dxa"/>
              <w:bottom w:w="80" w:type="dxa"/>
              <w:right w:w="180" w:type="dxa"/>
            </w:tcMar>
          </w:tcPr>
          <w:p w14:paraId="4B1F0529" w14:textId="77777777" w:rsidR="001D20F3" w:rsidRDefault="00C01D03">
            <w:pPr>
              <w:spacing w:before="30" w:after="30"/>
            </w:pPr>
            <w:r>
              <w:t>Extended deadline of 96 hours reflects the significantly higher complexity of this exercise.</w:t>
            </w:r>
          </w:p>
        </w:tc>
      </w:tr>
    </w:tbl>
    <w:p w14:paraId="62C8EEB2" w14:textId="77777777" w:rsidR="001D20F3" w:rsidRDefault="001D20F3">
      <w:pPr>
        <w:spacing w:after="100"/>
      </w:pPr>
    </w:p>
    <w:p w14:paraId="517A1082" w14:textId="77777777" w:rsidR="001D20F3" w:rsidRDefault="00C01D03">
      <w:r>
        <w:br w:type="page"/>
      </w:r>
    </w:p>
    <w:p w14:paraId="52D83DA4" w14:textId="77777777" w:rsidR="001D20F3" w:rsidRDefault="00C01D03">
      <w:pPr>
        <w:pStyle w:val="Heading1"/>
        <w:pBdr>
          <w:bottom w:val="single" w:sz="10" w:space="4" w:color="E8703A"/>
        </w:pBdr>
      </w:pPr>
      <w:r>
        <w:lastRenderedPageBreak/>
        <w:t>Exercise Overview</w:t>
      </w:r>
    </w:p>
    <w:p w14:paraId="4CC1A46E" w14:textId="10E7EC16" w:rsidR="001D20F3" w:rsidRDefault="00C01D03">
      <w:pPr>
        <w:spacing w:before="60" w:after="80"/>
      </w:pPr>
      <w:r>
        <w:t xml:space="preserve">This exercise </w:t>
      </w:r>
      <w:r>
        <w:t xml:space="preserve">requires you to design, implement, and deploy a POC </w:t>
      </w:r>
      <w:r>
        <w:t xml:space="preserve">for Structure-Based Drug Design (SBDD) — spanning protein-ligand interaction modelling with Graph Neural Networks, Reinforcement Learning for structure-guided molecular generation, SQL Server-backed experiment persistence, a fully orchestrated Docker Compose stack, and an interactive </w:t>
      </w:r>
      <w:proofErr w:type="spellStart"/>
      <w:r>
        <w:t>Streamlit</w:t>
      </w:r>
      <w:proofErr w:type="spellEnd"/>
      <w:r>
        <w:t xml:space="preserve"> front-end.</w:t>
      </w:r>
    </w:p>
    <w:p w14:paraId="6177A9B7" w14:textId="7B72B39F" w:rsidR="001D20F3" w:rsidRDefault="00C01D03" w:rsidP="00C01D03">
      <w:pPr>
        <w:spacing w:before="60" w:after="80"/>
      </w:pPr>
      <w:r>
        <w:t>There is no single correct solution. We are evaluating research judgment, engineering rigour, and your ability to make and justify design decisions under time pressure. Every architectural choice must be explicitly reasoned — not assumed.</w:t>
      </w:r>
    </w:p>
    <w:p w14:paraId="46B6C552" w14:textId="77777777" w:rsidR="001D20F3" w:rsidRDefault="00C01D03">
      <w:pPr>
        <w:pStyle w:val="Heading1"/>
        <w:pBdr>
          <w:bottom w:val="single" w:sz="10" w:space="4" w:color="E8703A"/>
        </w:pBdr>
      </w:pPr>
      <w:r>
        <w:t>Problem Statement</w:t>
      </w:r>
    </w:p>
    <w:p w14:paraId="6CBCAD95" w14:textId="609DA407" w:rsidR="001D20F3" w:rsidRDefault="00C01D03">
      <w:pPr>
        <w:spacing w:before="60" w:after="80"/>
      </w:pPr>
      <w:r>
        <w:t xml:space="preserve">A </w:t>
      </w:r>
      <w:r>
        <w:t>Structure-Based Drug Design (SBDD) capability needs to be added in existing Drug Discovery Platform</w:t>
      </w:r>
      <w:r>
        <w:t>. A key bottleneck is the design-dock-score-select loop: medicinal chemists propose or enumerate candidate molecules, these are docked against a target structure and scored for binding affinity, and the top candidates proceed to synthesis. This loop is largely manual and computationally expensive when using physics-based docking at scale.</w:t>
      </w:r>
    </w:p>
    <w:p w14:paraId="1D5C2252" w14:textId="77777777" w:rsidR="001D20F3" w:rsidRDefault="001D20F3">
      <w:pPr>
        <w:spacing w:after="100"/>
      </w:pPr>
    </w:p>
    <w:p w14:paraId="729D5A8F" w14:textId="77777777" w:rsidR="001D20F3" w:rsidRDefault="00C01D03">
      <w:pPr>
        <w:spacing w:before="60" w:after="80"/>
      </w:pPr>
      <w:r>
        <w:t xml:space="preserve">You are tasked with building </w:t>
      </w:r>
      <w:proofErr w:type="spellStart"/>
      <w:r>
        <w:t>GNNBindOptimizer</w:t>
      </w:r>
      <w:proofErr w:type="spellEnd"/>
      <w:r>
        <w:t xml:space="preserve"> — a prototype AI system that:</w:t>
      </w:r>
    </w:p>
    <w:p w14:paraId="19A817B0" w14:textId="77777777" w:rsidR="001D20F3" w:rsidRDefault="00C01D03">
      <w:pPr>
        <w:pStyle w:val="ListParagraph"/>
        <w:numPr>
          <w:ilvl w:val="0"/>
          <w:numId w:val="2"/>
        </w:numPr>
        <w:spacing w:before="40" w:after="40"/>
      </w:pPr>
      <w:r>
        <w:t>Predicts protein-ligand binding affinity directly from 3D complex structures using a multi-task Structure-Aware Graph Neural Network, bypassing the need for explicit docking in the scoring loop</w:t>
      </w:r>
    </w:p>
    <w:p w14:paraId="60A1789A" w14:textId="77777777" w:rsidR="001D20F3" w:rsidRDefault="00C01D03">
      <w:pPr>
        <w:pStyle w:val="ListParagraph"/>
        <w:numPr>
          <w:ilvl w:val="0"/>
          <w:numId w:val="2"/>
        </w:numPr>
        <w:spacing w:before="40" w:after="40"/>
      </w:pPr>
      <w:r>
        <w:t>Uses Reinforcement Learning to de novo generate optimized molecular candidates that are predicted to bind strongly to a specified protein pocket, guided entirely by the GNN scorer</w:t>
      </w:r>
    </w:p>
    <w:p w14:paraId="6B96C13A" w14:textId="77777777" w:rsidR="001D20F3" w:rsidRDefault="00C01D03">
      <w:pPr>
        <w:pStyle w:val="ListParagraph"/>
        <w:numPr>
          <w:ilvl w:val="0"/>
          <w:numId w:val="2"/>
        </w:numPr>
        <w:spacing w:before="40" w:after="40"/>
      </w:pPr>
      <w:r>
        <w:t>Persists all experiment metadata, model runs, binding predictions, and generated molecules to a SQL Server database</w:t>
      </w:r>
    </w:p>
    <w:p w14:paraId="117FCF40" w14:textId="77777777" w:rsidR="001D20F3" w:rsidRDefault="00C01D03">
      <w:pPr>
        <w:pStyle w:val="ListParagraph"/>
        <w:numPr>
          <w:ilvl w:val="0"/>
          <w:numId w:val="2"/>
        </w:numPr>
        <w:spacing w:before="40" w:after="40"/>
      </w:pPr>
      <w:r>
        <w:t xml:space="preserve">Exposes the full system via a containerized, reproducible Docker Compose stack with a </w:t>
      </w:r>
      <w:proofErr w:type="spellStart"/>
      <w:r>
        <w:t>Streamlit</w:t>
      </w:r>
      <w:proofErr w:type="spellEnd"/>
      <w:r>
        <w:t xml:space="preserve"> front-end</w:t>
      </w:r>
    </w:p>
    <w:p w14:paraId="6F3E836B" w14:textId="77777777" w:rsidR="001D20F3" w:rsidRDefault="001D20F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0F3" w14:paraId="7D6505C0" w14:textId="77777777">
        <w:tblPrEx>
          <w:tblCellMar>
            <w:top w:w="0" w:type="dxa"/>
            <w:bottom w:w="0" w:type="dxa"/>
          </w:tblCellMar>
        </w:tblPrEx>
        <w:tc>
          <w:tcPr>
            <w:tcW w:w="9360" w:type="dxa"/>
            <w:tcBorders>
              <w:top w:val="single" w:sz="10" w:space="0" w:color="006D77"/>
              <w:left w:val="single" w:sz="10" w:space="0" w:color="006D77"/>
              <w:bottom w:val="single" w:sz="10" w:space="0" w:color="006D77"/>
              <w:right w:val="single" w:sz="10" w:space="0" w:color="006D77"/>
            </w:tcBorders>
            <w:shd w:val="clear" w:color="auto" w:fill="E1F5EE"/>
            <w:tcMar>
              <w:top w:w="80" w:type="dxa"/>
              <w:left w:w="180" w:type="dxa"/>
              <w:bottom w:w="80" w:type="dxa"/>
              <w:right w:w="180" w:type="dxa"/>
            </w:tcMar>
          </w:tcPr>
          <w:p w14:paraId="4C44906A" w14:textId="77777777" w:rsidR="001D20F3" w:rsidRDefault="00C01D03">
            <w:pPr>
              <w:spacing w:before="30" w:after="30"/>
            </w:pPr>
            <w:r>
              <w:t>Target protein for this exercise: EGFR kinase (Epidermal Growth Factor Receptor) using PDB structure 1IEP (Imatinib-bound EGFR). This is a well-studied kinase with publicly available ligand datasets and established docking benchmarks. You may use alternative kinase structures if you have strong justification.</w:t>
            </w:r>
          </w:p>
        </w:tc>
      </w:tr>
    </w:tbl>
    <w:p w14:paraId="279A8F63" w14:textId="77777777" w:rsidR="001D20F3" w:rsidRDefault="001D20F3">
      <w:pPr>
        <w:spacing w:after="100"/>
      </w:pPr>
    </w:p>
    <w:p w14:paraId="6F7B8D86" w14:textId="77777777" w:rsidR="001D20F3" w:rsidRDefault="00C01D03">
      <w:r>
        <w:br w:type="page"/>
      </w:r>
    </w:p>
    <w:p w14:paraId="71F12F3C" w14:textId="77777777" w:rsidR="001D20F3" w:rsidRDefault="00C01D03">
      <w:pPr>
        <w:pStyle w:val="Heading1"/>
        <w:pBdr>
          <w:bottom w:val="single" w:sz="10" w:space="4" w:color="E8703A"/>
        </w:pBdr>
      </w:pPr>
      <w:r>
        <w:lastRenderedPageBreak/>
        <w:t>Component A — Structure-Aware GNN for Binding Affinity Prediction</w:t>
      </w:r>
    </w:p>
    <w:p w14:paraId="4CADFDD1" w14:textId="77777777" w:rsidR="001D20F3" w:rsidRDefault="00C01D03">
      <w:pPr>
        <w:pStyle w:val="Heading2"/>
      </w:pPr>
      <w:proofErr w:type="gramStart"/>
      <w:r>
        <w:t>A.1  Scientific</w:t>
      </w:r>
      <w:proofErr w:type="gramEnd"/>
      <w:r>
        <w:t xml:space="preserve"> Context &amp; Task Definition</w:t>
      </w:r>
    </w:p>
    <w:p w14:paraId="49EF1FDB" w14:textId="77777777" w:rsidR="001D20F3" w:rsidRDefault="00C01D03">
      <w:pPr>
        <w:spacing w:before="60" w:after="80"/>
      </w:pPr>
      <w:r>
        <w:t>Structure-Based Drug Design relies on understanding how a ligand fits within and interacts with a protein binding pocket. Unlike ligand-only models (e.g., Morgan fingerprint regressors), SBDD models must encode both the 3D geometry of the binding pocket and the ligand, as well as the specific non-covalent interactions between them (hydrogen bonds, hydrophobic contacts, pi-pi stacking, salt bridges).</w:t>
      </w:r>
    </w:p>
    <w:p w14:paraId="75A5E1BB" w14:textId="77777777" w:rsidR="001D20F3" w:rsidRDefault="00C01D03">
      <w:pPr>
        <w:spacing w:before="60" w:after="80"/>
      </w:pPr>
      <w:r>
        <w:t>Your task is to train a GNN that predicts binding affinity (</w:t>
      </w:r>
      <w:proofErr w:type="spellStart"/>
      <w:r>
        <w:t>pKd</w:t>
      </w:r>
      <w:proofErr w:type="spellEnd"/>
      <w:r>
        <w:t xml:space="preserve"> or pIC50 in -log10 units) given a protein-ligand complex represented as a graph.</w:t>
      </w:r>
    </w:p>
    <w:p w14:paraId="77D1C694" w14:textId="77777777" w:rsidR="001D20F3" w:rsidRDefault="001D20F3">
      <w:pPr>
        <w:spacing w:after="100"/>
      </w:pPr>
    </w:p>
    <w:p w14:paraId="45BC2183" w14:textId="77777777" w:rsidR="001D20F3" w:rsidRDefault="00C01D03">
      <w:pPr>
        <w:pStyle w:val="Heading2"/>
      </w:pPr>
      <w:proofErr w:type="gramStart"/>
      <w:r>
        <w:t>A.2  Dataset</w:t>
      </w:r>
      <w:proofErr w:type="gramEnd"/>
    </w:p>
    <w:p w14:paraId="00B225DB" w14:textId="40AE005D" w:rsidR="001D20F3" w:rsidRDefault="00C01D03" w:rsidP="00C01D03">
      <w:pPr>
        <w:spacing w:before="60" w:after="80"/>
      </w:pPr>
      <w:r>
        <w:t>You can u</w:t>
      </w:r>
      <w:r>
        <w:t xml:space="preserve">se any </w:t>
      </w:r>
      <w:r>
        <w:t xml:space="preserve">primary training dataset of your choice that </w:t>
      </w:r>
      <w:r>
        <w:t>provides experimental binding affinity measurements paired with co-crystallised 3D protein-ligand structures.</w:t>
      </w:r>
      <w:r>
        <w:br/>
      </w:r>
    </w:p>
    <w:p w14:paraId="2AFA99FB" w14:textId="77777777" w:rsidR="001D20F3" w:rsidRDefault="00C01D03">
      <w:pPr>
        <w:pStyle w:val="Heading2"/>
      </w:pPr>
      <w:proofErr w:type="gramStart"/>
      <w:r>
        <w:t>A.3  Graph</w:t>
      </w:r>
      <w:proofErr w:type="gramEnd"/>
      <w:r>
        <w:t xml:space="preserve"> Construction — Mandatory Design Choices</w:t>
      </w:r>
    </w:p>
    <w:p w14:paraId="6AF1FC23" w14:textId="77777777" w:rsidR="001D20F3" w:rsidRDefault="00C01D03">
      <w:pPr>
        <w:spacing w:before="60" w:after="80"/>
      </w:pPr>
      <w:r>
        <w:t>You must construct a heterogeneous protein-ligand interaction graph. Document every decision below in ARCHITECTURE.md:</w:t>
      </w:r>
    </w:p>
    <w:p w14:paraId="53645BF7" w14:textId="77777777" w:rsidR="001D20F3" w:rsidRDefault="001D20F3">
      <w:pPr>
        <w:spacing w:after="100"/>
      </w:pPr>
    </w:p>
    <w:p w14:paraId="4C2907C5" w14:textId="77777777" w:rsidR="001D20F3" w:rsidRDefault="00C01D03">
      <w:pPr>
        <w:spacing w:before="60" w:after="80"/>
      </w:pPr>
      <w:r>
        <w:t>Regardless of choice, you must:</w:t>
      </w:r>
    </w:p>
    <w:p w14:paraId="5D1BDFC4" w14:textId="77777777" w:rsidR="001D20F3" w:rsidRDefault="00C01D03">
      <w:pPr>
        <w:pStyle w:val="ListParagraph"/>
        <w:numPr>
          <w:ilvl w:val="0"/>
          <w:numId w:val="3"/>
        </w:numPr>
        <w:spacing w:before="40" w:after="40"/>
      </w:pPr>
      <w:r>
        <w:t>Implement at least 4 message-passing layers with residual connections</w:t>
      </w:r>
    </w:p>
    <w:p w14:paraId="11643BD2" w14:textId="77777777" w:rsidR="001D20F3" w:rsidRDefault="00C01D03">
      <w:pPr>
        <w:pStyle w:val="ListParagraph"/>
        <w:numPr>
          <w:ilvl w:val="0"/>
          <w:numId w:val="3"/>
        </w:numPr>
        <w:spacing w:before="40" w:after="40"/>
      </w:pPr>
      <w:r>
        <w:t>Use a global readout (mean, sum, or attention pooling) that aggregates both ligand and pocket node representations</w:t>
      </w:r>
    </w:p>
    <w:p w14:paraId="4D57A40E" w14:textId="2D92E271" w:rsidR="001D20F3" w:rsidRDefault="00C01D03">
      <w:pPr>
        <w:pStyle w:val="ListParagraph"/>
        <w:numPr>
          <w:ilvl w:val="0"/>
          <w:numId w:val="3"/>
        </w:numPr>
        <w:spacing w:before="40" w:after="40"/>
      </w:pPr>
      <w:r>
        <w:t>Output a single scalar binding affinity prediction</w:t>
      </w:r>
    </w:p>
    <w:p w14:paraId="363D92D7" w14:textId="2AB159A2" w:rsidR="001D20F3" w:rsidRDefault="00C01D03">
      <w:pPr>
        <w:pStyle w:val="ListParagraph"/>
        <w:numPr>
          <w:ilvl w:val="0"/>
          <w:numId w:val="3"/>
        </w:numPr>
        <w:spacing w:before="40" w:after="40"/>
      </w:pPr>
      <w:r>
        <w:t>Report model hyper parameter &amp; performance metrics</w:t>
      </w:r>
      <w:r>
        <w:t>.</w:t>
      </w:r>
    </w:p>
    <w:p w14:paraId="73370F34" w14:textId="77777777" w:rsidR="001D20F3" w:rsidRDefault="001D20F3">
      <w:pPr>
        <w:spacing w:after="100"/>
      </w:pPr>
    </w:p>
    <w:p w14:paraId="224F3A93" w14:textId="77777777" w:rsidR="001D20F3" w:rsidRDefault="00C01D03">
      <w:pPr>
        <w:pStyle w:val="Heading2"/>
      </w:pPr>
      <w:proofErr w:type="gramStart"/>
      <w:r>
        <w:t>A.5  Multi</w:t>
      </w:r>
      <w:proofErr w:type="gramEnd"/>
      <w:r>
        <w:t>-Task Extension — Mandatory</w:t>
      </w:r>
    </w:p>
    <w:p w14:paraId="5486D678" w14:textId="77777777" w:rsidR="001D20F3" w:rsidRDefault="00C01D03">
      <w:pPr>
        <w:spacing w:before="60" w:after="80"/>
      </w:pPr>
      <w:r>
        <w:t>Extend the model to simultaneously predict:</w:t>
      </w:r>
    </w:p>
    <w:p w14:paraId="53DE94DB" w14:textId="77777777" w:rsidR="001D20F3" w:rsidRDefault="001D20F3">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320"/>
      </w:tblGrid>
      <w:tr w:rsidR="00C01D03" w14:paraId="31AC5155" w14:textId="77777777" w:rsidTr="00C01D03">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006D77"/>
            <w:tcMar>
              <w:top w:w="80" w:type="dxa"/>
              <w:left w:w="120" w:type="dxa"/>
              <w:bottom w:w="80" w:type="dxa"/>
              <w:right w:w="120" w:type="dxa"/>
            </w:tcMar>
          </w:tcPr>
          <w:p w14:paraId="1D01788B" w14:textId="77777777" w:rsidR="00C01D03" w:rsidRDefault="00C01D03">
            <w:r>
              <w:rPr>
                <w:b/>
                <w:bCs/>
                <w:color w:val="FFFFFF"/>
                <w:sz w:val="20"/>
                <w:szCs w:val="20"/>
              </w:rPr>
              <w:t>Task</w:t>
            </w:r>
          </w:p>
        </w:tc>
        <w:tc>
          <w:tcPr>
            <w:tcW w:w="4320" w:type="dxa"/>
            <w:tcBorders>
              <w:top w:val="single" w:sz="1" w:space="0" w:color="CCCCCC"/>
              <w:left w:val="single" w:sz="1" w:space="0" w:color="CCCCCC"/>
              <w:bottom w:val="single" w:sz="1" w:space="0" w:color="CCCCCC"/>
              <w:right w:val="single" w:sz="1" w:space="0" w:color="CCCCCC"/>
            </w:tcBorders>
            <w:shd w:val="clear" w:color="auto" w:fill="006D77"/>
            <w:tcMar>
              <w:top w:w="80" w:type="dxa"/>
              <w:left w:w="120" w:type="dxa"/>
              <w:bottom w:w="80" w:type="dxa"/>
              <w:right w:w="120" w:type="dxa"/>
            </w:tcMar>
          </w:tcPr>
          <w:p w14:paraId="53DBC89F" w14:textId="77777777" w:rsidR="00C01D03" w:rsidRDefault="00C01D03">
            <w:r>
              <w:rPr>
                <w:b/>
                <w:bCs/>
                <w:color w:val="FFFFFF"/>
                <w:sz w:val="20"/>
                <w:szCs w:val="20"/>
              </w:rPr>
              <w:t>Target metric</w:t>
            </w:r>
          </w:p>
        </w:tc>
      </w:tr>
      <w:tr w:rsidR="00C01D03" w14:paraId="7AE73363" w14:textId="77777777" w:rsidTr="00C01D0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EDFD" w14:textId="77777777" w:rsidR="00C01D03" w:rsidRDefault="00C01D03">
            <w:r>
              <w:rPr>
                <w:sz w:val="20"/>
                <w:szCs w:val="20"/>
              </w:rPr>
              <w:t>Binding affinity (</w:t>
            </w:r>
            <w:proofErr w:type="spellStart"/>
            <w:r>
              <w:rPr>
                <w:sz w:val="20"/>
                <w:szCs w:val="20"/>
              </w:rPr>
              <w:t>pKd</w:t>
            </w:r>
            <w:proofErr w:type="spellEnd"/>
            <w:r>
              <w:rPr>
                <w:sz w:val="20"/>
                <w:szCs w:val="20"/>
              </w:rPr>
              <w:t>/pIC50)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5C0C" w14:textId="766B064F" w:rsidR="00C01D03" w:rsidRDefault="00C01D03">
            <w:r>
              <w:t>To be decided</w:t>
            </w:r>
          </w:p>
        </w:tc>
      </w:tr>
      <w:tr w:rsidR="00C01D03" w14:paraId="04606A1A" w14:textId="77777777" w:rsidTr="00C01D0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B6710" w14:textId="77777777" w:rsidR="00C01D03" w:rsidRDefault="00C01D03">
            <w:r>
              <w:rPr>
                <w:sz w:val="20"/>
                <w:szCs w:val="20"/>
              </w:rPr>
              <w:t>Binding pose quality (RMSD &lt; 2A vs crystal)</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FEC13" w14:textId="1A608464" w:rsidR="00C01D03" w:rsidRDefault="00C01D03">
            <w:r>
              <w:t>To be decided</w:t>
            </w:r>
          </w:p>
        </w:tc>
      </w:tr>
      <w:tr w:rsidR="00C01D03" w14:paraId="6B6917F0" w14:textId="77777777" w:rsidTr="00C01D0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08B8" w14:textId="77777777" w:rsidR="00C01D03" w:rsidRDefault="00C01D03">
            <w:r>
              <w:rPr>
                <w:sz w:val="20"/>
                <w:szCs w:val="20"/>
              </w:rPr>
              <w:t>Selectivity flag (EGFR vs ABL1)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68BE" w14:textId="03C39F8A" w:rsidR="00C01D03" w:rsidRDefault="00C01D03">
            <w:r>
              <w:t>To be decided</w:t>
            </w:r>
          </w:p>
        </w:tc>
      </w:tr>
    </w:tbl>
    <w:p w14:paraId="39C84700" w14:textId="77777777" w:rsidR="001D20F3" w:rsidRDefault="001D20F3">
      <w:pPr>
        <w:spacing w:after="100"/>
      </w:pPr>
    </w:p>
    <w:p w14:paraId="5358ABBB" w14:textId="6CD62425" w:rsidR="001D20F3" w:rsidRDefault="00C01D03">
      <w:pPr>
        <w:spacing w:before="60" w:after="80"/>
      </w:pPr>
      <w:r>
        <w:lastRenderedPageBreak/>
        <w:t>Compare task-specific performance with and without multi-task learning — does joint training improve or hurt binding affinity prediction</w:t>
      </w:r>
    </w:p>
    <w:p w14:paraId="5F3630F7" w14:textId="77777777" w:rsidR="001D20F3" w:rsidRDefault="001D20F3">
      <w:pPr>
        <w:spacing w:after="100"/>
      </w:pPr>
    </w:p>
    <w:p w14:paraId="462BCCA7" w14:textId="77777777" w:rsidR="001D20F3" w:rsidRDefault="00C01D03">
      <w:pPr>
        <w:pStyle w:val="Heading1"/>
        <w:pBdr>
          <w:bottom w:val="single" w:sz="10" w:space="4" w:color="E8703A"/>
        </w:pBdr>
      </w:pPr>
      <w:r>
        <w:t>Component B — Reinforcement Learning for Structure-Guided Molecular Generation</w:t>
      </w:r>
    </w:p>
    <w:p w14:paraId="19570354" w14:textId="270BBB70" w:rsidR="001D20F3" w:rsidRDefault="00C01D03">
      <w:pPr>
        <w:pStyle w:val="Heading2"/>
      </w:pPr>
      <w:r>
        <w:t>Task Definition</w:t>
      </w:r>
    </w:p>
    <w:p w14:paraId="3A276D21" w14:textId="2C2833EA" w:rsidR="001D20F3" w:rsidRDefault="00C01D03">
      <w:pPr>
        <w:spacing w:before="60" w:after="80"/>
      </w:pPr>
      <w:r>
        <w:t xml:space="preserve">Using the trained GNN from Component A as a frozen binding affinity oracle, implement an RL-based de novo molecular generation loop that optimizes ligands for predicted binding to the EGFR pocket (PDB: 1IEP). </w:t>
      </w:r>
    </w:p>
    <w:p w14:paraId="2D6C3C98" w14:textId="08226FD0" w:rsidR="001D20F3" w:rsidRDefault="00C01D03">
      <w:pPr>
        <w:pStyle w:val="Heading2"/>
      </w:pPr>
      <w:r>
        <w:t>Reward Function Design</w:t>
      </w:r>
    </w:p>
    <w:p w14:paraId="2C5D5169" w14:textId="6E357F80" w:rsidR="001D20F3" w:rsidRDefault="00C01D03">
      <w:pPr>
        <w:spacing w:before="60" w:after="80"/>
      </w:pPr>
      <w:r>
        <w:t xml:space="preserve">The multi-component reward must balance binding strength with drug-likeness and synthetic accessibility. Implement and document the </w:t>
      </w:r>
      <w:r>
        <w:t>reward components:</w:t>
      </w:r>
    </w:p>
    <w:p w14:paraId="1816765C" w14:textId="77777777" w:rsidR="001D20F3" w:rsidRDefault="00C01D03">
      <w:pPr>
        <w:pStyle w:val="Heading1"/>
        <w:pBdr>
          <w:bottom w:val="single" w:sz="10" w:space="4" w:color="E8703A"/>
        </w:pBdr>
      </w:pPr>
      <w:r>
        <w:t>Component C — SQL Server Schema &amp; Experiment Persistence</w:t>
      </w:r>
    </w:p>
    <w:p w14:paraId="5D17502D" w14:textId="6200DC7E" w:rsidR="001D20F3" w:rsidRDefault="00C01D03" w:rsidP="00C01D03">
      <w:pPr>
        <w:spacing w:before="60" w:after="80"/>
      </w:pPr>
      <w:r>
        <w:t xml:space="preserve">All experiment </w:t>
      </w:r>
      <w:proofErr w:type="gramStart"/>
      <w:r>
        <w:t>runs,</w:t>
      </w:r>
      <w:proofErr w:type="gramEnd"/>
      <w:r>
        <w:t xml:space="preserve"> model checkpoints, binding predictions </w:t>
      </w:r>
      <w:r>
        <w:t>and RL training logs must be persisted to a ML Flow</w:t>
      </w:r>
      <w:r>
        <w:t xml:space="preserve">. </w:t>
      </w:r>
      <w:r>
        <w:br/>
      </w:r>
      <w:r>
        <w:t xml:space="preserve">The </w:t>
      </w:r>
      <w:proofErr w:type="spellStart"/>
      <w:r>
        <w:t>Streamlit</w:t>
      </w:r>
      <w:proofErr w:type="spellEnd"/>
      <w:r>
        <w:t xml:space="preserve"> UI reads exclusively from </w:t>
      </w:r>
      <w:r>
        <w:t>SQL Server 2022 database</w:t>
      </w:r>
      <w:r>
        <w:t xml:space="preserve"> — no flat-file fallbacks permitted.</w:t>
      </w:r>
    </w:p>
    <w:p w14:paraId="258AF10D" w14:textId="77777777" w:rsidR="001D20F3" w:rsidRDefault="00C01D03">
      <w:pPr>
        <w:pStyle w:val="Heading1"/>
        <w:pBdr>
          <w:bottom w:val="single" w:sz="10" w:space="4" w:color="E8703A"/>
        </w:pBdr>
      </w:pPr>
      <w:r>
        <w:t>Technical Debrief Expectations</w:t>
      </w:r>
    </w:p>
    <w:p w14:paraId="5E4E4B06" w14:textId="77777777" w:rsidR="001D20F3" w:rsidRDefault="00C01D03">
      <w:pPr>
        <w:spacing w:before="60" w:after="80"/>
      </w:pPr>
      <w:r>
        <w:t>Shortlisted candidates will be invited to a 45-minute technical debrief. You will be expected to:</w:t>
      </w:r>
    </w:p>
    <w:p w14:paraId="7CA11412" w14:textId="77777777" w:rsidR="001D20F3" w:rsidRDefault="00C01D03">
      <w:pPr>
        <w:pStyle w:val="ListParagraph"/>
        <w:numPr>
          <w:ilvl w:val="0"/>
          <w:numId w:val="3"/>
        </w:numPr>
        <w:spacing w:before="40" w:after="40"/>
      </w:pPr>
      <w:r>
        <w:t>Live-demonstrate the Docker Compose stack from a cold start</w:t>
      </w:r>
    </w:p>
    <w:p w14:paraId="4A8BF026" w14:textId="77777777" w:rsidR="001D20F3" w:rsidRDefault="00C01D03">
      <w:pPr>
        <w:pStyle w:val="ListParagraph"/>
        <w:numPr>
          <w:ilvl w:val="0"/>
          <w:numId w:val="3"/>
        </w:numPr>
        <w:spacing w:before="40" w:after="40"/>
      </w:pPr>
      <w:r>
        <w:t>Walk through the heterogeneous graph construction: why those node features, why those edge types, why that distance cutoff for protein-ligand edges</w:t>
      </w:r>
    </w:p>
    <w:p w14:paraId="7588B426" w14:textId="69FA5F23" w:rsidR="001D20F3" w:rsidRDefault="00C01D03">
      <w:pPr>
        <w:pStyle w:val="ListParagraph"/>
        <w:numPr>
          <w:ilvl w:val="0"/>
          <w:numId w:val="3"/>
        </w:numPr>
        <w:spacing w:before="40" w:after="40"/>
      </w:pPr>
      <w:r>
        <w:t>Justify your GNN architecture</w:t>
      </w:r>
    </w:p>
    <w:p w14:paraId="1874078C" w14:textId="4520AFEF" w:rsidR="001D20F3" w:rsidRDefault="00C01D03">
      <w:pPr>
        <w:pStyle w:val="ListParagraph"/>
        <w:numPr>
          <w:ilvl w:val="0"/>
          <w:numId w:val="3"/>
        </w:numPr>
        <w:spacing w:before="40" w:after="40"/>
      </w:pPr>
      <w:r>
        <w:t>Explain your pretraining objective</w:t>
      </w:r>
    </w:p>
    <w:p w14:paraId="36525582" w14:textId="6C201D2A" w:rsidR="001D20F3" w:rsidRDefault="00C01D03">
      <w:pPr>
        <w:pStyle w:val="ListParagraph"/>
        <w:numPr>
          <w:ilvl w:val="0"/>
          <w:numId w:val="3"/>
        </w:numPr>
        <w:spacing w:before="40" w:after="40"/>
      </w:pPr>
      <w:r>
        <w:t>Discuss the RL reward design</w:t>
      </w:r>
    </w:p>
    <w:p w14:paraId="1D4D964A" w14:textId="19BE6DC7" w:rsidR="001D20F3" w:rsidRDefault="00C01D03">
      <w:pPr>
        <w:pStyle w:val="ListParagraph"/>
        <w:numPr>
          <w:ilvl w:val="0"/>
          <w:numId w:val="3"/>
        </w:numPr>
        <w:spacing w:before="40" w:after="40"/>
      </w:pPr>
      <w:r>
        <w:t>Explain the SQL Server schema</w:t>
      </w:r>
    </w:p>
    <w:p w14:paraId="5E66668C" w14:textId="77777777" w:rsidR="001D20F3" w:rsidRDefault="00C01D03">
      <w:pPr>
        <w:pStyle w:val="Heading1"/>
        <w:pBdr>
          <w:bottom w:val="single" w:sz="10" w:space="4" w:color="E8703A"/>
        </w:pBdr>
      </w:pPr>
      <w:r>
        <w:t>Submission Requirements</w:t>
      </w:r>
    </w:p>
    <w:p w14:paraId="1978E77F" w14:textId="77777777" w:rsidR="001D20F3" w:rsidRDefault="00C01D03">
      <w:pPr>
        <w:pStyle w:val="ListParagraph"/>
        <w:numPr>
          <w:ilvl w:val="0"/>
          <w:numId w:val="3"/>
        </w:numPr>
        <w:spacing w:before="40" w:after="40"/>
      </w:pPr>
      <w:r>
        <w:t>Public GitHub repository with full commit history — one commit per meaningful work unit; a single bulk commit will be noted negatively</w:t>
      </w:r>
    </w:p>
    <w:p w14:paraId="4E55B66C" w14:textId="77777777" w:rsidR="001D20F3" w:rsidRDefault="00C01D03">
      <w:pPr>
        <w:pStyle w:val="ListParagraph"/>
        <w:numPr>
          <w:ilvl w:val="0"/>
          <w:numId w:val="3"/>
        </w:numPr>
        <w:spacing w:before="40" w:after="40"/>
      </w:pPr>
      <w:r>
        <w:t xml:space="preserve">README.md, ARCHITECTURE.md, </w:t>
      </w:r>
      <w:proofErr w:type="spellStart"/>
      <w:r>
        <w:t>db</w:t>
      </w:r>
      <w:proofErr w:type="spellEnd"/>
      <w:r>
        <w:t>/</w:t>
      </w:r>
      <w:proofErr w:type="spellStart"/>
      <w:r>
        <w:t>init.sql</w:t>
      </w:r>
      <w:proofErr w:type="spellEnd"/>
      <w:r>
        <w:t xml:space="preserve">, and </w:t>
      </w:r>
      <w:proofErr w:type="spellStart"/>
      <w:r>
        <w:t>db</w:t>
      </w:r>
      <w:proofErr w:type="spellEnd"/>
      <w:r>
        <w:t>/</w:t>
      </w:r>
      <w:proofErr w:type="spellStart"/>
      <w:r>
        <w:t>queries.sql</w:t>
      </w:r>
      <w:proofErr w:type="spellEnd"/>
      <w:r>
        <w:t xml:space="preserve"> must be present and complete</w:t>
      </w:r>
    </w:p>
    <w:p w14:paraId="49442B6B" w14:textId="77777777" w:rsidR="001D20F3" w:rsidRDefault="00C01D03">
      <w:pPr>
        <w:pStyle w:val="ListParagraph"/>
        <w:numPr>
          <w:ilvl w:val="0"/>
          <w:numId w:val="3"/>
        </w:numPr>
        <w:spacing w:before="40" w:after="40"/>
      </w:pPr>
      <w:proofErr w:type="gramStart"/>
      <w:r>
        <w:t>.</w:t>
      </w:r>
      <w:proofErr w:type="spellStart"/>
      <w:r>
        <w:t>env</w:t>
      </w:r>
      <w:proofErr w:type="gramEnd"/>
      <w:r>
        <w:t>.example</w:t>
      </w:r>
      <w:proofErr w:type="spellEnd"/>
      <w:r>
        <w:t xml:space="preserve"> must be present; .env must NOT be committed</w:t>
      </w:r>
    </w:p>
    <w:p w14:paraId="57428E12" w14:textId="77777777" w:rsidR="001D20F3" w:rsidRDefault="00C01D03">
      <w:pPr>
        <w:pStyle w:val="ListParagraph"/>
        <w:numPr>
          <w:ilvl w:val="0"/>
          <w:numId w:val="3"/>
        </w:numPr>
        <w:spacing w:before="40" w:after="40"/>
      </w:pPr>
      <w:r>
        <w:lastRenderedPageBreak/>
        <w:t xml:space="preserve">A </w:t>
      </w:r>
      <w:proofErr w:type="gramStart"/>
      <w:r>
        <w:t>3-5 minute</w:t>
      </w:r>
      <w:proofErr w:type="gramEnd"/>
      <w:r>
        <w:t xml:space="preserve"> screen recording demonstrating: docker compose up from cold start, </w:t>
      </w:r>
      <w:proofErr w:type="spellStart"/>
      <w:r>
        <w:t>Streamlit</w:t>
      </w:r>
      <w:proofErr w:type="spellEnd"/>
      <w:r>
        <w:t xml:space="preserve"> app with populated data, live binding affinity prediction for a novel SMILES, RL-generated molecule browser, the GNN vs Vina scatter plot, and the SQL Query Console</w:t>
      </w:r>
    </w:p>
    <w:p w14:paraId="2F513F74" w14:textId="77777777" w:rsidR="001D20F3" w:rsidRDefault="00C01D03">
      <w:pPr>
        <w:pStyle w:val="ListParagraph"/>
        <w:numPr>
          <w:ilvl w:val="0"/>
          <w:numId w:val="3"/>
        </w:numPr>
        <w:spacing w:before="40" w:after="40"/>
      </w:pPr>
      <w:r>
        <w:t>ARCHITECTURE.pdf (rendered from ARCHITECTURE.md) included in repo root for debrief convenience</w:t>
      </w:r>
    </w:p>
    <w:p w14:paraId="5AFC02BB" w14:textId="77777777" w:rsidR="001D20F3" w:rsidRDefault="00C01D03">
      <w:pPr>
        <w:pStyle w:val="ListParagraph"/>
        <w:numPr>
          <w:ilvl w:val="0"/>
          <w:numId w:val="3"/>
        </w:numPr>
        <w:spacing w:before="40" w:after="40"/>
      </w:pPr>
      <w:r>
        <w:t>Deadline: 96 hours from the time this document is received</w:t>
      </w:r>
    </w:p>
    <w:sectPr w:rsidR="001D20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B3BF3" w14:textId="77777777" w:rsidR="00C01D03" w:rsidRDefault="00C01D03">
      <w:r>
        <w:separator/>
      </w:r>
    </w:p>
  </w:endnote>
  <w:endnote w:type="continuationSeparator" w:id="0">
    <w:p w14:paraId="42096E38" w14:textId="77777777" w:rsidR="00C01D03" w:rsidRDefault="00C01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7448" w14:textId="77777777" w:rsidR="001D20F3" w:rsidRDefault="00C01D03">
    <w:pPr>
      <w:pBdr>
        <w:top w:val="single" w:sz="4" w:space="4" w:color="CCCCCC"/>
      </w:pBdr>
      <w:tabs>
        <w:tab w:val="right" w:pos="9026"/>
      </w:tabs>
    </w:pPr>
    <w:r>
      <w:rPr>
        <w:color w:val="888888"/>
        <w:sz w:val="18"/>
        <w:szCs w:val="18"/>
      </w:rPr>
      <w:t xml:space="preserve">Data Science &amp; AI </w:t>
    </w:r>
    <w:proofErr w:type="gramStart"/>
    <w:r>
      <w:rPr>
        <w:color w:val="888888"/>
        <w:sz w:val="18"/>
        <w:szCs w:val="18"/>
      </w:rPr>
      <w:t>Strategy  |</w:t>
    </w:r>
    <w:proofErr w:type="gramEnd"/>
    <w:r>
      <w:rPr>
        <w:color w:val="888888"/>
        <w:sz w:val="18"/>
        <w:szCs w:val="18"/>
      </w:rPr>
      <w:t xml:space="preserve">  CDO Office</w:t>
    </w:r>
    <w:r>
      <w:rPr>
        <w:color w:val="888888"/>
        <w:sz w:val="18"/>
        <w:szCs w:val="18"/>
      </w:rPr>
      <w:tab/>
      <w:t xml:space="preserve">Page </w:t>
    </w:r>
    <w:r>
      <w:fldChar w:fldCharType="begin"/>
    </w:r>
    <w:r>
      <w:instrText>PAGE</w:instrText>
    </w:r>
    <w:r>
      <w:fldChar w:fldCharType="separate"/>
    </w:r>
    <w:r>
      <w:rPr>
        <w:noProof/>
      </w:rPr>
      <w:t>1</w:t>
    </w:r>
    <w:r>
      <w:fldChar w:fldCharType="end"/>
    </w:r>
    <w:r>
      <w:rPr>
        <w:color w:val="888888"/>
        <w:sz w:val="18"/>
        <w:szCs w:val="18"/>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04D7" w14:textId="77777777" w:rsidR="00C01D03" w:rsidRDefault="00C01D03">
      <w:r>
        <w:separator/>
      </w:r>
    </w:p>
  </w:footnote>
  <w:footnote w:type="continuationSeparator" w:id="0">
    <w:p w14:paraId="1506AF20" w14:textId="77777777" w:rsidR="00C01D03" w:rsidRDefault="00C01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4354" w14:textId="5EEBF007" w:rsidR="001D20F3" w:rsidRDefault="00C01D03">
    <w:pPr>
      <w:pBdr>
        <w:bottom w:val="single" w:sz="4" w:space="4" w:color="CCCCCC"/>
      </w:pBdr>
      <w:tabs>
        <w:tab w:val="right" w:pos="9026"/>
      </w:tabs>
    </w:pPr>
    <w:r>
      <w:rPr>
        <w:color w:val="888888"/>
        <w:sz w:val="18"/>
        <w:szCs w:val="18"/>
      </w:rPr>
      <w:t xml:space="preserve">Aragen Life </w:t>
    </w:r>
    <w:proofErr w:type="gramStart"/>
    <w:r>
      <w:rPr>
        <w:color w:val="888888"/>
        <w:sz w:val="18"/>
        <w:szCs w:val="18"/>
      </w:rPr>
      <w:t>Sciences  |</w:t>
    </w:r>
    <w:proofErr w:type="gramEnd"/>
    <w:r>
      <w:rPr>
        <w:color w:val="888888"/>
        <w:sz w:val="18"/>
        <w:szCs w:val="18"/>
      </w:rPr>
      <w:t xml:space="preserve">  AI Take-Home Coding Exercise</w:t>
    </w:r>
    <w:r>
      <w:rPr>
        <w:sz w:val="18"/>
        <w:szCs w:val="18"/>
      </w:rPr>
      <w:tab/>
    </w:r>
    <w:r>
      <w:rPr>
        <w:b/>
        <w:bCs/>
        <w:color w:val="E8703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3400"/>
    <w:multiLevelType w:val="hybridMultilevel"/>
    <w:tmpl w:val="3F1A4924"/>
    <w:lvl w:ilvl="0" w:tplc="3F283D0C">
      <w:start w:val="1"/>
      <w:numFmt w:val="bullet"/>
      <w:lvlText w:val="●"/>
      <w:lvlJc w:val="left"/>
      <w:pPr>
        <w:ind w:left="720" w:hanging="360"/>
      </w:pPr>
    </w:lvl>
    <w:lvl w:ilvl="1" w:tplc="612410DA">
      <w:start w:val="1"/>
      <w:numFmt w:val="bullet"/>
      <w:lvlText w:val="○"/>
      <w:lvlJc w:val="left"/>
      <w:pPr>
        <w:ind w:left="1440" w:hanging="360"/>
      </w:pPr>
    </w:lvl>
    <w:lvl w:ilvl="2" w:tplc="C652EC12">
      <w:start w:val="1"/>
      <w:numFmt w:val="bullet"/>
      <w:lvlText w:val="■"/>
      <w:lvlJc w:val="left"/>
      <w:pPr>
        <w:ind w:left="2160" w:hanging="360"/>
      </w:pPr>
    </w:lvl>
    <w:lvl w:ilvl="3" w:tplc="FAA088B8">
      <w:start w:val="1"/>
      <w:numFmt w:val="bullet"/>
      <w:lvlText w:val="●"/>
      <w:lvlJc w:val="left"/>
      <w:pPr>
        <w:ind w:left="2880" w:hanging="360"/>
      </w:pPr>
    </w:lvl>
    <w:lvl w:ilvl="4" w:tplc="8034D322">
      <w:start w:val="1"/>
      <w:numFmt w:val="bullet"/>
      <w:lvlText w:val="○"/>
      <w:lvlJc w:val="left"/>
      <w:pPr>
        <w:ind w:left="3600" w:hanging="360"/>
      </w:pPr>
    </w:lvl>
    <w:lvl w:ilvl="5" w:tplc="589CC00E">
      <w:start w:val="1"/>
      <w:numFmt w:val="bullet"/>
      <w:lvlText w:val="■"/>
      <w:lvlJc w:val="left"/>
      <w:pPr>
        <w:ind w:left="4320" w:hanging="360"/>
      </w:pPr>
    </w:lvl>
    <w:lvl w:ilvl="6" w:tplc="8F6CBA1E">
      <w:start w:val="1"/>
      <w:numFmt w:val="bullet"/>
      <w:lvlText w:val="●"/>
      <w:lvlJc w:val="left"/>
      <w:pPr>
        <w:ind w:left="5040" w:hanging="360"/>
      </w:pPr>
    </w:lvl>
    <w:lvl w:ilvl="7" w:tplc="A1385C8E">
      <w:start w:val="1"/>
      <w:numFmt w:val="bullet"/>
      <w:lvlText w:val="●"/>
      <w:lvlJc w:val="left"/>
      <w:pPr>
        <w:ind w:left="5760" w:hanging="360"/>
      </w:pPr>
    </w:lvl>
    <w:lvl w:ilvl="8" w:tplc="4AAC23C0">
      <w:start w:val="1"/>
      <w:numFmt w:val="bullet"/>
      <w:lvlText w:val="●"/>
      <w:lvlJc w:val="left"/>
      <w:pPr>
        <w:ind w:left="6480" w:hanging="360"/>
      </w:pPr>
    </w:lvl>
  </w:abstractNum>
  <w:abstractNum w:abstractNumId="1" w15:restartNumberingAfterBreak="0">
    <w:nsid w:val="1D614B69"/>
    <w:multiLevelType w:val="hybridMultilevel"/>
    <w:tmpl w:val="A54CF3A8"/>
    <w:lvl w:ilvl="0" w:tplc="1D166000">
      <w:start w:val="1"/>
      <w:numFmt w:val="decimal"/>
      <w:lvlText w:val="%1."/>
      <w:lvlJc w:val="left"/>
      <w:pPr>
        <w:ind w:left="720" w:hanging="360"/>
      </w:pPr>
    </w:lvl>
    <w:lvl w:ilvl="1" w:tplc="5BC29ED4">
      <w:numFmt w:val="decimal"/>
      <w:lvlText w:val=""/>
      <w:lvlJc w:val="left"/>
    </w:lvl>
    <w:lvl w:ilvl="2" w:tplc="93CED3CA">
      <w:numFmt w:val="decimal"/>
      <w:lvlText w:val=""/>
      <w:lvlJc w:val="left"/>
    </w:lvl>
    <w:lvl w:ilvl="3" w:tplc="A9082F58">
      <w:numFmt w:val="decimal"/>
      <w:lvlText w:val=""/>
      <w:lvlJc w:val="left"/>
    </w:lvl>
    <w:lvl w:ilvl="4" w:tplc="9C1EA5F2">
      <w:numFmt w:val="decimal"/>
      <w:lvlText w:val=""/>
      <w:lvlJc w:val="left"/>
    </w:lvl>
    <w:lvl w:ilvl="5" w:tplc="C1148D4A">
      <w:numFmt w:val="decimal"/>
      <w:lvlText w:val=""/>
      <w:lvlJc w:val="left"/>
    </w:lvl>
    <w:lvl w:ilvl="6" w:tplc="ED6277EC">
      <w:numFmt w:val="decimal"/>
      <w:lvlText w:val=""/>
      <w:lvlJc w:val="left"/>
    </w:lvl>
    <w:lvl w:ilvl="7" w:tplc="0588828A">
      <w:numFmt w:val="decimal"/>
      <w:lvlText w:val=""/>
      <w:lvlJc w:val="left"/>
    </w:lvl>
    <w:lvl w:ilvl="8" w:tplc="849251AA">
      <w:numFmt w:val="decimal"/>
      <w:lvlText w:val=""/>
      <w:lvlJc w:val="left"/>
    </w:lvl>
  </w:abstractNum>
  <w:abstractNum w:abstractNumId="2" w15:restartNumberingAfterBreak="0">
    <w:nsid w:val="216901FC"/>
    <w:multiLevelType w:val="hybridMultilevel"/>
    <w:tmpl w:val="8DA2EECA"/>
    <w:lvl w:ilvl="0" w:tplc="701E9D9E">
      <w:start w:val="1"/>
      <w:numFmt w:val="bullet"/>
      <w:lvlText w:val="•"/>
      <w:lvlJc w:val="left"/>
      <w:pPr>
        <w:ind w:left="720" w:hanging="360"/>
      </w:pPr>
    </w:lvl>
    <w:lvl w:ilvl="1" w:tplc="5A4EED2C">
      <w:numFmt w:val="decimal"/>
      <w:lvlText w:val=""/>
      <w:lvlJc w:val="left"/>
    </w:lvl>
    <w:lvl w:ilvl="2" w:tplc="6AD83D36">
      <w:numFmt w:val="decimal"/>
      <w:lvlText w:val=""/>
      <w:lvlJc w:val="left"/>
    </w:lvl>
    <w:lvl w:ilvl="3" w:tplc="99DC39E4">
      <w:numFmt w:val="decimal"/>
      <w:lvlText w:val=""/>
      <w:lvlJc w:val="left"/>
    </w:lvl>
    <w:lvl w:ilvl="4" w:tplc="3F1EDE62">
      <w:numFmt w:val="decimal"/>
      <w:lvlText w:val=""/>
      <w:lvlJc w:val="left"/>
    </w:lvl>
    <w:lvl w:ilvl="5" w:tplc="FB7C7562">
      <w:numFmt w:val="decimal"/>
      <w:lvlText w:val=""/>
      <w:lvlJc w:val="left"/>
    </w:lvl>
    <w:lvl w:ilvl="6" w:tplc="ADAC556E">
      <w:numFmt w:val="decimal"/>
      <w:lvlText w:val=""/>
      <w:lvlJc w:val="left"/>
    </w:lvl>
    <w:lvl w:ilvl="7" w:tplc="D0144616">
      <w:numFmt w:val="decimal"/>
      <w:lvlText w:val=""/>
      <w:lvlJc w:val="left"/>
    </w:lvl>
    <w:lvl w:ilvl="8" w:tplc="12245CA6">
      <w:numFmt w:val="decimal"/>
      <w:lvlText w:val=""/>
      <w:lvlJc w:val="left"/>
    </w:lvl>
  </w:abstractNum>
  <w:num w:numId="1" w16cid:durableId="274606315">
    <w:abstractNumId w:val="0"/>
    <w:lvlOverride w:ilvl="0">
      <w:startOverride w:val="1"/>
    </w:lvlOverride>
  </w:num>
  <w:num w:numId="2" w16cid:durableId="1642614020">
    <w:abstractNumId w:val="1"/>
    <w:lvlOverride w:ilvl="0">
      <w:startOverride w:val="1"/>
    </w:lvlOverride>
  </w:num>
  <w:num w:numId="3" w16cid:durableId="657272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0F3"/>
    <w:rsid w:val="001D20F3"/>
    <w:rsid w:val="007C00E2"/>
    <w:rsid w:val="00C01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0FB"/>
  <w15:docId w15:val="{B6A24E96-256C-4AB0-BCCB-AB2F8F7B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8703A"/>
      <w:sz w:val="34"/>
      <w:szCs w:val="34"/>
    </w:rPr>
  </w:style>
  <w:style w:type="paragraph" w:styleId="Heading2">
    <w:name w:val="heading 2"/>
    <w:uiPriority w:val="9"/>
    <w:unhideWhenUsed/>
    <w:qFormat/>
    <w:pPr>
      <w:spacing w:before="260" w:after="120"/>
      <w:outlineLvl w:val="1"/>
    </w:pPr>
    <w:rPr>
      <w:b/>
      <w:bCs/>
      <w:color w:val="006D77"/>
      <w:sz w:val="26"/>
      <w:szCs w:val="26"/>
    </w:rPr>
  </w:style>
  <w:style w:type="paragraph" w:styleId="Heading3">
    <w:name w:val="heading 3"/>
    <w:uiPriority w:val="9"/>
    <w:unhideWhenUsed/>
    <w:qFormat/>
    <w:pPr>
      <w:spacing w:before="18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1D03"/>
    <w:pPr>
      <w:tabs>
        <w:tab w:val="center" w:pos="4513"/>
        <w:tab w:val="right" w:pos="9026"/>
      </w:tabs>
    </w:pPr>
  </w:style>
  <w:style w:type="character" w:customStyle="1" w:styleId="HeaderChar">
    <w:name w:val="Header Char"/>
    <w:basedOn w:val="DefaultParagraphFont"/>
    <w:link w:val="Header"/>
    <w:uiPriority w:val="99"/>
    <w:rsid w:val="00C01D03"/>
  </w:style>
  <w:style w:type="paragraph" w:styleId="Footer">
    <w:name w:val="footer"/>
    <w:basedOn w:val="Normal"/>
    <w:link w:val="FooterChar"/>
    <w:uiPriority w:val="99"/>
    <w:unhideWhenUsed/>
    <w:rsid w:val="00C01D03"/>
    <w:pPr>
      <w:tabs>
        <w:tab w:val="center" w:pos="4513"/>
        <w:tab w:val="right" w:pos="9026"/>
      </w:tabs>
    </w:pPr>
  </w:style>
  <w:style w:type="character" w:customStyle="1" w:styleId="FooterChar">
    <w:name w:val="Footer Char"/>
    <w:basedOn w:val="DefaultParagraphFont"/>
    <w:link w:val="Footer"/>
    <w:uiPriority w:val="99"/>
    <w:rsid w:val="00C01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Magoo</cp:lastModifiedBy>
  <cp:revision>2</cp:revision>
  <dcterms:created xsi:type="dcterms:W3CDTF">2026-04-20T14:02:00Z</dcterms:created>
  <dcterms:modified xsi:type="dcterms:W3CDTF">2026-04-20T14:20:00Z</dcterms:modified>
</cp:coreProperties>
</file>