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</w:pPr>
      <w:r>
        <w:rPr>
          <w:rFonts w:ascii="Arial" w:cs="Arial" w:eastAsia="Arial" w:hAnsi="Arial"/>
          <w:b/>
          <w:bCs/>
          <w:color w:val="1A1A2E"/>
          <w:sz w:val="52"/>
          <w:szCs w:val="52"/>
        </w:rPr>
        <w:t xml:space="preserve">EXPERT SYSTEM AI</w:t>
      </w:r>
    </w:p>
    <w:p>
      <w:pPr>
        <w:spacing w:before="0" w:after="80"/>
      </w:pPr>
      <w:r>
        <w:rPr>
          <w:rFonts w:ascii="Arial" w:cs="Arial" w:eastAsia="Arial" w:hAnsi="Arial"/>
          <w:color w:val="4F8EF7"/>
          <w:sz w:val="26"/>
          <w:szCs w:val="26"/>
        </w:rPr>
        <w:t xml:space="preserve">Autonomous Multi-Agent Architecture Brief</w:t>
      </w:r>
    </w:p>
    <w:p>
      <w:pPr>
        <w:spacing w:before="0" w:after="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Version 1.0  |  March 2026  |  Confidential</w:t>
      </w:r>
    </w:p>
    <w:p>
      <w:pPr>
        <w:pBdr>
          <w:bottom w:val="single" w:color="4F8EF7" w:sz="4" w:space="1"/>
        </w:pBdr>
        <w:spacing w:before="160" w:after="16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01  Overview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This document outlines the architecture for a fully autonomous, self-improving multi-agent AI system. The system researches topics, forms opinions, publishes content, builds software, audits itself, and continuously learns — with no human in the loop.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system is orchestrated via Claude Code, with each agent exposed as a dedicated MCP (Model Context Protocol) server. Communication between agents is standardized, modular, and extensible.</w:t>
      </w:r>
    </w:p>
    <w:p>
      <w:pPr>
        <w:spacing w:before="200" w:after="0"/>
      </w:pPr>
      <w:r>
        <w:t xml:space="preserve"/>
      </w:r>
    </w:p>
    <w:p>
      <w:pPr>
        <w:pBdr>
          <w:bottom w:val="single" w:color="4F8EF7" w:sz="4" w:space="1"/>
        </w:pBdr>
        <w:spacing w:before="160" w:after="16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02  Agent Roster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Seven specialized agents form the core system. Each is an independent MCP server with defined tools, responsibilities, and trust boundaries.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000"/>
        <w:gridCol w:w="3200"/>
        <w:gridCol w:w="3160"/>
      </w:tblGrid>
      <w:tr>
        <w:tc>
          <w:tcPr>
            <w:tcW w:type="dxa" w:w="1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Agent</w:t>
            </w:r>
          </w:p>
        </w:tc>
        <w:tc>
          <w:tcPr>
            <w:tcW w:type="dxa" w:w="3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Primary Role</w:t>
            </w:r>
          </w:p>
        </w:tc>
        <w:tc>
          <w:tcPr>
            <w:tcW w:type="dxa" w:w="31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Tools / Scope</w:t>
            </w:r>
          </w:p>
        </w:tc>
      </w:tr>
      <w:tr>
        <w:tc>
          <w:tcPr>
            <w:tcW w:type="dxa" w:w="1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🔐</w:t>
            </w:r>
          </w:p>
        </w:tc>
        <w:tc>
          <w:tcPr>
            <w:tcW w:type="dxa" w:w="2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Secretary</w:t>
            </w:r>
          </w:p>
        </w:tc>
        <w:tc>
          <w:tcPr>
            <w:tcW w:type="dxa" w:w="3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Credential vault. Manages API keys, passwords, wallets, and private data. Local-only. Never networked.</w:t>
            </w:r>
          </w:p>
        </w:tc>
        <w:tc>
          <w:tcPr>
            <w:tcW w:type="dxa" w:w="31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get/store credentials, sign transactions, key rotation</w:t>
            </w:r>
          </w:p>
        </w:tc>
      </w:tr>
      <w:tr>
        <w:tc>
          <w:tcPr>
            <w:tcW w:type="dxa" w:w="1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🎯</w:t>
            </w:r>
          </w:p>
        </w:tc>
        <w:tc>
          <w:tcPr>
            <w:tcW w:type="dxa" w:w="2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Hunter</w:t>
            </w:r>
          </w:p>
        </w:tc>
        <w:tc>
          <w:tcPr>
            <w:tcW w:type="dxa" w:w="3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Researches social media and the web. Develops a weighted belief system. Generates opinions and actionable ideas. Publishes content.</w:t>
            </w:r>
          </w:p>
        </w:tc>
        <w:tc>
          <w:tcPr>
            <w:tcW w:type="dxa" w:w="31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run_research, update_belief, publish_content, schedule_hunt</w:t>
            </w:r>
          </w:p>
        </w:tc>
      </w:tr>
      <w:tr>
        <w:tc>
          <w:tcPr>
            <w:tcW w:type="dxa" w:w="1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🏗️</w:t>
            </w:r>
          </w:p>
        </w:tc>
        <w:tc>
          <w:tcPr>
            <w:tcW w:type="dxa" w:w="2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Builder x3</w:t>
            </w:r>
          </w:p>
        </w:tc>
        <w:tc>
          <w:tcPr>
            <w:tcW w:type="dxa" w:w="3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Three-lane pipeline: write code, test, deploy. Receives actionable ideas from Hunter. Implements Auditor findings.</w:t>
            </w:r>
          </w:p>
        </w:tc>
        <w:tc>
          <w:tcPr>
            <w:tcW w:type="dxa" w:w="31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receive_idea, write_code, run_tests, deploy, rollback</w:t>
            </w:r>
          </w:p>
        </w:tc>
      </w:tr>
      <w:tr>
        <w:tc>
          <w:tcPr>
            <w:tcW w:type="dxa" w:w="1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🔍</w:t>
            </w:r>
          </w:p>
        </w:tc>
        <w:tc>
          <w:tcPr>
            <w:tcW w:type="dxa" w:w="2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Auditor</w:t>
            </w:r>
          </w:p>
        </w:tc>
        <w:tc>
          <w:tcPr>
            <w:tcW w:type="dxa" w:w="3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Runs every 30 minutes. Reads system logs, checks Hunter for belief drift, validates build health, submits findings to Builder.</w:t>
            </w:r>
          </w:p>
        </w:tc>
        <w:tc>
          <w:tcPr>
            <w:tcW w:type="dxa" w:w="31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run_audit, read_logs, check_drift, submit_to_builder</w:t>
            </w:r>
          </w:p>
        </w:tc>
      </w:tr>
      <w:tr>
        <w:tc>
          <w:tcPr>
            <w:tcW w:type="dxa" w:w="1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📊</w:t>
            </w:r>
          </w:p>
        </w:tc>
        <w:tc>
          <w:tcPr>
            <w:tcW w:type="dxa" w:w="2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Feedback</w:t>
            </w:r>
          </w:p>
        </w:tc>
        <w:tc>
          <w:tcPr>
            <w:tcW w:type="dxa" w:w="3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Monitors published content performance. Scores by reach, sentiment, and outcome. Writes results back to memory to shape Hunter's beliefs.</w:t>
            </w:r>
          </w:p>
        </w:tc>
        <w:tc>
          <w:tcPr>
            <w:tcW w:type="dxa" w:w="31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track_content, fetch_metrics, score_content, flag_belief</w:t>
            </w:r>
          </w:p>
        </w:tc>
      </w:tr>
      <w:tr>
        <w:tc>
          <w:tcPr>
            <w:tcW w:type="dxa" w:w="1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👁️</w:t>
            </w:r>
          </w:p>
        </w:tc>
        <w:tc>
          <w:tcPr>
            <w:tcW w:type="dxa" w:w="2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Monitor</w:t>
            </w:r>
          </w:p>
        </w:tc>
        <w:tc>
          <w:tcPr>
            <w:tcW w:type="dxa" w:w="3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Passive real-time logger. Records all agent events, heartbeats, and errors. Auditor reads this on its 30-min cycle.</w:t>
            </w:r>
          </w:p>
        </w:tc>
        <w:tc>
          <w:tcPr>
            <w:tcW w:type="dxa" w:w="31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log_event, get_logs, get_errors, set_heartbeat</w:t>
            </w:r>
          </w:p>
        </w:tc>
      </w:tr>
      <w:tr>
        <w:tc>
          <w:tcPr>
            <w:tcW w:type="dxa" w:w="1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🧠</w:t>
            </w:r>
          </w:p>
        </w:tc>
        <w:tc>
          <w:tcPr>
            <w:tcW w:type="dxa" w:w="2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Memory</w:t>
            </w:r>
          </w:p>
        </w:tc>
        <w:tc>
          <w:tcPr>
            <w:tcW w:type="dxa" w:w="3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Shared knowledge layer. SQLite with vector index for fast semantic search. Arweave for permanent archival of published outputs and beliefs.</w:t>
            </w:r>
          </w:p>
        </w:tc>
        <w:tc>
          <w:tcPr>
            <w:tcW w:type="dxa" w:w="31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store/search/get memory, archive_to_arweave, tag_memory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Bdr>
          <w:bottom w:val="single" w:color="4F8EF7" w:sz="4" w:space="1"/>
        </w:pBdr>
        <w:spacing w:before="160" w:after="16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03  Orchestration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Claude Code serves as the Orchestrator and primary user interface. It issues natural language directives that are translated into structured MCP tool calls across agents.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F8EF7"/>
          <w:sz w:val="22"/>
          <w:szCs w:val="22"/>
        </w:rPr>
        <w:t xml:space="preserve">Orchestrator Responsibilities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Prioritize and sequence agent tasks based on system state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Resolve conflicts between concurrent agent actions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Route Hunter's actionable ideas to the correct Builder lane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Receive and communicate Auditor findings for human review (optional)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Maintain session context and standing instructions from the user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F8EF7"/>
          <w:sz w:val="22"/>
          <w:szCs w:val="22"/>
        </w:rPr>
        <w:t xml:space="preserve">Builder Lane Assignment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Writes code from idea spec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Builder-1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Tests Builder-1 output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Builder-2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Deploys if tests pass. Triggers rollback on failure.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Builder-3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Orchestrator queues tasks if a lane is busy. No two Builders operate on the same task simultaneously.</w:t>
      </w:r>
    </w:p>
    <w:p>
      <w:pPr>
        <w:spacing w:before="200" w:after="0"/>
      </w:pPr>
      <w:r>
        <w:t xml:space="preserve"/>
      </w:r>
    </w:p>
    <w:p>
      <w:pPr>
        <w:pBdr>
          <w:bottom w:val="single" w:color="4F8EF7" w:sz="4" w:space="1"/>
        </w:pBdr>
        <w:spacing w:before="160" w:after="16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04  Memory Architecture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All agents share a unified memory layer. Hot data lives in SQLite with vector embeddings for semantic retrieval. Cold/permanent data is archived to Arweave.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F8EF7"/>
          <w:sz w:val="22"/>
          <w:szCs w:val="22"/>
        </w:rPr>
        <w:t xml:space="preserve">Write Path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Agent → SQLite (immediate, hot storage) → Arweave (permanent public archive on publish events)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F8EF7"/>
          <w:sz w:val="22"/>
          <w:szCs w:val="22"/>
        </w:rPr>
        <w:t xml:space="preserve">Read Path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Agent → SQLite vector search → retrieve relevant memory chunks with semantic ranking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F8EF7"/>
          <w:sz w:val="22"/>
          <w:szCs w:val="22"/>
        </w:rPr>
        <w:t xml:space="preserve">SQLite Schema (Core)</w:t>
      </w:r>
    </w:p>
    <w:p>
      <w:pPr>
        <w:spacing w:before="80" w:after="8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memories ( id, agent_id, content, embedding BLOB, tags, privacy_level, arweave_tx_id, created_at, score FLOAT )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F8EF7"/>
          <w:sz w:val="22"/>
          <w:szCs w:val="22"/>
        </w:rPr>
        <w:t xml:space="preserve">Privacy Levels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private — Secretary-scoped only. Never leaves local machine.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internal — Readable by all agents. Not archived to Arweave.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public — Archiveable to Arweave. Hunter's published beliefs and outputs.</w:t>
      </w:r>
    </w:p>
    <w:p>
      <w:pPr>
        <w:spacing w:before="200" w:after="0"/>
      </w:pPr>
      <w:r>
        <w:t xml:space="preserve"/>
      </w:r>
    </w:p>
    <w:p>
      <w:pPr>
        <w:pBdr>
          <w:bottom w:val="single" w:color="4F8EF7" w:sz="4" w:space="1"/>
        </w:pBdr>
        <w:spacing w:before="160" w:after="16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05  Feedback Agent — Detailed Scope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Feedback Agent closes the loop between Hunter's published content and its belief system. It is the primary mechanism for self-improvement without human oversight.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F8EF7"/>
          <w:sz w:val="22"/>
          <w:szCs w:val="22"/>
        </w:rPr>
        <w:t xml:space="preserve">Scoring Formula</w:t>
      </w:r>
    </w:p>
    <w:p>
      <w:pPr>
        <w:spacing w:before="80" w:after="80"/>
      </w:pPr>
      <w:r>
        <w:rPr>
          <w:rFonts w:ascii="Courier New" w:cs="Courier New" w:eastAsia="Courier New" w:hAnsi="Courier New"/>
          <w:b/>
          <w:bCs/>
          <w:color w:val="4F8EF7"/>
          <w:sz w:val="20"/>
          <w:szCs w:val="20"/>
        </w:rPr>
        <w:t xml:space="preserve">score = (reach × 0.3) + (sentiment × 0.4) + (outcome × 0.3)</w:t>
      </w:r>
    </w:p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Reach — views, shares, amplification of published piece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Sentiment — emotional tone of responses and replies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Outcome — whether the actionable idea was built and successfully deployed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F8EF7"/>
          <w:sz w:val="22"/>
          <w:szCs w:val="22"/>
        </w:rPr>
        <w:t xml:space="preserve">Feedback Cycle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Hunter publishes content → Feedback Agent registers it for tracking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Metrics are polled at 24hr and 72hr post-publish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Score is computed and written back to Memory Layer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Hunter reads performance scores on next belief update cycle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Low-scoring beliefs are flagged to Auditor for review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F8EF7"/>
          <w:sz w:val="22"/>
          <w:szCs w:val="22"/>
        </w:rPr>
        <w:t xml:space="preserve">Drift Risk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Without constraint, Feedback optimization will cause Hunter to drift toward engagement-maximizing content over truthful or valuable content. Mitigation: bake value constraints into Hunter's base system prompt as immutable rules that override belief weight updates.</w:t>
      </w:r>
    </w:p>
    <w:p>
      <w:pPr>
        <w:spacing w:before="200" w:after="0"/>
      </w:pPr>
      <w:r>
        <w:t xml:space="preserve"/>
      </w:r>
    </w:p>
    <w:p>
      <w:pPr>
        <w:pBdr>
          <w:bottom w:val="single" w:color="4F8EF7" w:sz="4" w:space="1"/>
        </w:pBdr>
        <w:spacing w:before="160" w:after="16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06  Security &amp; Trust Boundaries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F8EF7"/>
          <w:sz w:val="22"/>
          <w:szCs w:val="22"/>
        </w:rPr>
        <w:t xml:space="preserve">Secretary Is Always Local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Secretary MCP server must never be exposed to any network interface. All credential calls are stdio-only between Claude Code and the local process. No agent calls Secretary directly — only Orchestrator can relay credential requests.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F8EF7"/>
          <w:sz w:val="22"/>
          <w:szCs w:val="22"/>
        </w:rPr>
        <w:t xml:space="preserve">Trust Hierarchy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Level 0 — Secretary (local only, no inbound network)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Level 1 — Orchestrator / Claude Code (full system access)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Level 2 — Builder, Auditor (high trust, write access to deploy)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Level 3 — Hunter, Feedback (medium trust, read/write to memory)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Level 4 — Monitor (low trust, append-only logging)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F8EF7"/>
          <w:sz w:val="22"/>
          <w:szCs w:val="22"/>
        </w:rPr>
        <w:t xml:space="preserve">Arweave Consideration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Data written to Arweave is permanent and public. Memory Layer must enforce privacy_level checks before any archive_to_arweave call. Private or internal memories must never be passed to this function.</w:t>
      </w:r>
    </w:p>
    <w:p>
      <w:pPr>
        <w:spacing w:before="200" w:after="0"/>
      </w:pPr>
      <w:r>
        <w:t xml:space="preserve"/>
      </w:r>
    </w:p>
    <w:p>
      <w:pPr>
        <w:pBdr>
          <w:bottom w:val="single" w:color="4F8EF7" w:sz="4" w:space="1"/>
        </w:pBdr>
        <w:spacing w:before="160" w:after="16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07  Recommended Tech Stack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63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</w:tr>
      <w:tr>
        <w:tc>
          <w:tcPr>
            <w:tcW w:type="dxa" w:w="3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EF3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Orchestrator</w:t>
            </w:r>
          </w:p>
        </w:tc>
        <w:tc>
          <w:tcPr>
            <w:tcW w:type="dxa" w:w="63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EF3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Claude Code (MCP client)</w:t>
            </w:r>
          </w:p>
        </w:tc>
      </w:tr>
      <w:tr>
        <w:tc>
          <w:tcPr>
            <w:tcW w:type="dxa" w:w="3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Agent Protocol</w:t>
            </w:r>
          </w:p>
        </w:tc>
        <w:tc>
          <w:tcPr>
            <w:tcW w:type="dxa" w:w="63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MCP — Model Context Protocol (Anthropic)</w:t>
            </w:r>
          </w:p>
        </w:tc>
      </w:tr>
      <w:tr>
        <w:tc>
          <w:tcPr>
            <w:tcW w:type="dxa" w:w="3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EF3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Hot Memory</w:t>
            </w:r>
          </w:p>
        </w:tc>
        <w:tc>
          <w:tcPr>
            <w:tcW w:type="dxa" w:w="63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EF3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SQLite + sqlite-vec (vector extension)</w:t>
            </w:r>
          </w:p>
        </w:tc>
      </w:tr>
      <w:tr>
        <w:tc>
          <w:tcPr>
            <w:tcW w:type="dxa" w:w="3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Permanent Storage</w:t>
            </w:r>
          </w:p>
        </w:tc>
        <w:tc>
          <w:tcPr>
            <w:tcW w:type="dxa" w:w="63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Arweave (permaweb archival)</w:t>
            </w:r>
          </w:p>
        </w:tc>
      </w:tr>
      <w:tr>
        <w:tc>
          <w:tcPr>
            <w:tcW w:type="dxa" w:w="3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EF3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Agent Runtime</w:t>
            </w:r>
          </w:p>
        </w:tc>
        <w:tc>
          <w:tcPr>
            <w:tcW w:type="dxa" w:w="63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EF3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Node.js or Python MCP server per agent</w:t>
            </w:r>
          </w:p>
        </w:tc>
      </w:tr>
      <w:tr>
        <w:tc>
          <w:tcPr>
            <w:tcW w:type="dxa" w:w="3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Scheduling</w:t>
            </w:r>
          </w:p>
        </w:tc>
        <w:tc>
          <w:tcPr>
            <w:tcW w:type="dxa" w:w="63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Node-cron or system cron (Auditor 30-min cycle)</w:t>
            </w:r>
          </w:p>
        </w:tc>
      </w:tr>
      <w:tr>
        <w:tc>
          <w:tcPr>
            <w:tcW w:type="dxa" w:w="3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EF3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Secret Storage</w:t>
            </w:r>
          </w:p>
        </w:tc>
        <w:tc>
          <w:tcPr>
            <w:tcW w:type="dxa" w:w="63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EF3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Local encrypted vault (age or similar)</w:t>
            </w:r>
          </w:p>
        </w:tc>
      </w:tr>
      <w:tr>
        <w:tc>
          <w:tcPr>
            <w:tcW w:type="dxa" w:w="3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Social Publishing</w:t>
            </w:r>
          </w:p>
        </w:tc>
        <w:tc>
          <w:tcPr>
            <w:tcW w:type="dxa" w:w="63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Platform APIs (X, Farcaster, Lens, etc.)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Bdr>
          <w:bottom w:val="single" w:color="4F8EF7" w:sz="4" w:space="1"/>
        </w:pBdr>
        <w:spacing w:before="160" w:after="16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08  Recommended Next Steps</w:t>
      </w:r>
    </w:p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Scaffold memory-mcp first — all other agents depend on it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Build secretary-mcp and verify local-only isolation before anything else goes live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Implement hunter-mcp with a single research source and belief store to validate the loop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Wire feedback-mcp → memory-mcp → hunter belief update to confirm the cycle closes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Bring up builder-mcp with a test deployment pipeline before connecting to Hunter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Add auditor-mcp last once there are logs to read and findings to generate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Define Hunter's immutable value constraints before any public publishing is enabled</w:t>
      </w:r>
    </w:p>
    <w:p>
      <w:pPr>
        <w:spacing w:before="200" w:after="0"/>
      </w:pPr>
      <w:r>
        <w:t xml:space="preserve"/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4F8EF7" w:sz="4" w:space="4"/>
      </w:pBdr>
      <w:jc w:val="right"/>
    </w:pPr>
    <w:r>
      <w:rPr>
        <w:rFonts w:ascii="Arial" w:cs="Arial" w:eastAsia="Arial" w:hAnsi="Arial"/>
        <w:color w:val="666666"/>
        <w:sz w:val="16"/>
        <w:szCs w:val="16"/>
      </w:rPr>
      <w:t xml:space="preserve">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6"/>
        <w:szCs w:val="16"/>
      </w:rPr>
      <w:t xml:space="preserve"> of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F8EF7" w:sz="6" w:space="4"/>
      </w:pBdr>
    </w:pPr>
    <w:r>
      <w:rPr>
        <w:rFonts w:ascii="Arial" w:cs="Arial" w:eastAsia="Arial" w:hAnsi="Arial"/>
        <w:b/>
        <w:bCs/>
        <w:color w:val="666666"/>
        <w:sz w:val="16"/>
        <w:szCs w:val="16"/>
      </w:rPr>
      <w:t xml:space="preserve">CONFIDENTIAL  |  EXPERT SYSTEM AI — PROJECT BRIEF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4F8EF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2026-03-10T04:41:36.808Z</dcterms:created>
  <dcterms:modified xsi:type="dcterms:W3CDTF">2026-03-10T04:41:36.809Z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