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Determinants of GDP Growth (2009-2018)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6"/>
        <w:gridCol w:w="1218"/>
        <w:gridCol w:w="1291"/>
        <w:gridCol w:w="1352"/>
        <w:gridCol w:w="1352"/>
        <w:gridCol w:w="1352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(5)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(0.524)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Spillover return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9.693*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7.495*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(1.947)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(4.970)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(4.253)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 per capita (2008)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-0.044**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Average citations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Innovations per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-77.874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-66.144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(121.496)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(121.961)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Citations per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7.766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(23.116)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(23.510)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(23.444)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615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 standard errors in parentheses.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p&lt;0.1, ** p&lt;0.05, *** p&lt;0.01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Table 2: Descriptive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94"/>
        <w:gridCol w:w="1108"/>
        <w:gridCol w:w="1596"/>
        <w:gridCol w:w="961"/>
        <w:gridCol w:w="839"/>
        <w:gridCol w:w="790"/>
        <w:gridCol w:w="1132"/>
        <w:gridCol w:w="96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Pct.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 growth (annual 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</w:t>
            </w:r>
          </w:p>
        </w:tc>
      </w:tr>
      <w:tr>
        <w:trPr>
          <w:trHeight w:val="6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avglob0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 per capita (constant 2015 US$)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110.1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Population,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571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2025-12-01T13:31:46Z</dcterms:modified>
  <cp:category/>
</cp:coreProperties>
</file>