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1: Determinants of GDP Growth (2009-2018)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6"/>
        <w:gridCol w:w="1218"/>
        <w:gridCol w:w="1291"/>
        <w:gridCol w:w="1352"/>
        <w:gridCol w:w="1352"/>
        <w:gridCol w:w="1352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1.826***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2.571***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(0.524)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Spillover return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7.495*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(4.970)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(4.253)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(2008)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-0.044**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citations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(0.084)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Innovations per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-42.335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-66.144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(120.829)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(121.496)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(121.961)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Citations per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7.766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(23.116)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(23.510)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(23.444)</w:t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57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</w:t>
            </w:r>
          </w:p>
        </w:tc>
      </w:tr>
      <w:tr>
        <w:trPr>
          <w:trHeight w:val="615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footer 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 standard errors in parentheses.</w:t>
            </w:r>
          </w:p>
        </w:tc>
      </w:tr>
      <w:tr>
        <w:trPr>
          <w:trHeight w:val="360" w:hRule="auto"/>
        </w:trPr>
        footer 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p&lt;0.1, ** p&lt;0.05, *** p&lt;0.01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Table 2: Descriptive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94"/>
        <w:gridCol w:w="1108"/>
        <w:gridCol w:w="1596"/>
        <w:gridCol w:w="961"/>
        <w:gridCol w:w="839"/>
        <w:gridCol w:w="790"/>
        <w:gridCol w:w="1132"/>
        <w:gridCol w:w="96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 Pct.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growth (annual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avglob0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2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(constant 2015 US$)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110.1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Population,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2025-11-26T18:04:38Z</dcterms:modified>
  <cp:category/>
</cp:coreProperties>
</file>