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350c2b066084edb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Enterprise Market Analysis Report</w:t>
      </w:r>
    </w:p>
    <w:p>
      <w:r>
        <w:rPr>
          <w:sz w:val="12pt"/>
          <w:color w:val="666666"/>
        </w:rPr>
        <w:t>Generated: April 13, 2026</w:t>
      </w:r>
    </w:p>
    <w:p>
      <w:r>
        <w:rPr>
          <w:b/>
          <w:sz w:val="20pt"/>
          <w:color w:val="003366"/>
        </w:rPr>
        <w:t>Executive Summary</w:t>
      </w:r>
    </w:p>
    <w:p>
      <w:r>
        <w:rPr>
          <w:sz w:val="11pt"/>
          <w:color w:val="2B2B2B"/>
        </w:rPr>
        <w:t>The enterprise market is currently defined by a 'efficiency-first' AI strategy. Decision makers in Finance and Telecom are moving past experimental GenAI to focus on Cloud Cost Optimization (FinOps) and governed Agentic AI workflows that prove measurable ROI.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Key Trends</w:t>
      </w:r>
    </w:p>
    <w:p>
      <w:pPr>
        <w:pStyle w:val="ListBullet"/>
      </w:pPr>
      <w:r>
        <w:rPr>
          <w:sz w:val="22"/>
          <w:color w:val="2B2B2B"/>
        </w:rPr>
        <w:t>Shift from experimental to production-grade Agentic AI</w:t>
      </w:r>
    </w:p>
    <w:p>
      <w:pPr>
        <w:pStyle w:val="ListBullet"/>
      </w:pPr>
      <w:r>
        <w:rPr>
          <w:sz w:val="22"/>
          <w:color w:val="2B2B2B"/>
        </w:rPr>
        <w:t>Hyper-focus on Cloud Cost Management (FinOps) due to 30% average waste</w:t>
      </w:r>
    </w:p>
    <w:p>
      <w:pPr>
        <w:pStyle w:val="ListBullet"/>
      </w:pPr>
      <w:r>
        <w:rPr>
          <w:sz w:val="22"/>
          <w:color w:val="2B2B2B"/>
        </w:rPr>
        <w:t>Increasing regulatory pressure for AI transparency and human-in-the-loop</w:t>
      </w:r>
    </w:p>
    <w:p>
      <w:pPr>
        <w:pStyle w:val="ListBullet"/>
      </w:pPr>
      <w:r>
        <w:rPr>
          <w:sz w:val="22"/>
          <w:color w:val="2B2B2B"/>
        </w:rPr>
        <w:t>Consolidation of AI platforms within the Microsoft ecosystem</w:t>
      </w:r>
    </w:p>
    <w:p>
      <w:pPr>
        <w:pStyle w:val="ListBullet"/>
      </w:pPr>
      <w:r>
        <w:rPr>
          <w:sz w:val="22"/>
          <w:color w:val="2B2B2B"/>
        </w:rPr>
        <w:t>Rise of specialized multi-agent systems for back-office automation</w:t>
      </w:r>
    </w:p>
    <w:p>
      <w:r>
        <w:rPr>
          <w:b/>
          <w:sz w:val="20pt"/>
          <w:color w:val="003366"/>
        </w:rPr>
        <w:t>Enterprise Pain Points</w:t>
      </w:r>
    </w:p>
    <w:p>
      <w:pPr>
        <w:pStyle w:val="ListBullet"/>
      </w:pPr>
      <w:r>
        <w:rPr>
          <w:sz w:val="22"/>
          <w:color w:val="2B2B2B"/>
        </w:rPr>
        <w:t>Predictable AI costs are difficult to model in pay-as-you-go environments</w:t>
      </w:r>
    </w:p>
    <w:p>
      <w:pPr>
        <w:pStyle w:val="ListBullet"/>
      </w:pPr>
      <w:r>
        <w:rPr>
          <w:sz w:val="22"/>
          <w:color w:val="2B2B2B"/>
        </w:rPr>
        <w:t>Data sovereignty concerns in highly regulated financial sectors</w:t>
      </w:r>
    </w:p>
    <w:p>
      <w:pPr>
        <w:pStyle w:val="ListBullet"/>
      </w:pPr>
      <w:r>
        <w:rPr>
          <w:sz w:val="22"/>
          <w:color w:val="2B2B2B"/>
        </w:rPr>
        <w:t>Skills gap in managing complex multi-agent orchestrations</w:t>
      </w:r>
    </w:p>
    <w:p>
      <w:pPr>
        <w:pStyle w:val="ListBullet"/>
      </w:pPr>
      <w:r>
        <w:rPr>
          <w:sz w:val="22"/>
          <w:color w:val="2B2B2B"/>
        </w:rPr>
        <w:t>Integrating legacy infrastructure with modern Microsoft Agent Framework</w:t>
      </w:r>
    </w:p>
    <w:p>
      <w:pPr>
        <w:pStyle w:val="ListBullet"/>
      </w:pPr>
      <w:r>
        <w:rPr>
          <w:sz w:val="22"/>
          <w:color w:val="2B2B2B"/>
        </w:rPr>
        <w:t>Lack of governance for autonomous AI agents acting on sensitive data</w:t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