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44a88707bf92b9a6b2ab0314e00144acc0bdfe"/>
    <w:p>
      <w:pPr>
        <w:pStyle w:val="1"/>
      </w:pPr>
      <w:r>
        <w:t xml:space="preserve">Chapter 11 - Operational Playbook (Hardware, Procurement, Lab Build, Regulatory)</w:t>
      </w:r>
    </w:p>
    <w:p>
      <w:pPr>
        <w:pStyle w:val="FirstParagraph"/>
      </w:pPr>
      <w:r>
        <w:t xml:space="preserve">Status: CANONICAL v1.0</w:t>
      </w:r>
    </w:p>
    <w:bookmarkStart w:id="20" w:name="overview"/>
    <w:p>
      <w:pPr>
        <w:pStyle w:val="2"/>
      </w:pPr>
      <w:r>
        <w:t xml:space="preserve">Overview</w:t>
      </w:r>
    </w:p>
    <w:p>
      <w:pPr>
        <w:pStyle w:val="FirstParagraph"/>
      </w:pPr>
      <w:r>
        <w:t xml:space="preserve">This playbook converts the protocol into an operational lab and procurement roadmap 2027-2030.</w:t>
      </w:r>
      <w:r>
        <w:t xml:space="preserve"> </w:t>
      </w:r>
      <w:r>
        <w:t xml:space="preserve">It is purposefully deterministic: BOM items, vendor alternatives, expected lead times,</w:t>
      </w:r>
      <w:r>
        <w:t xml:space="preserve"> </w:t>
      </w:r>
      <w:r>
        <w:t xml:space="preserve">lab footprint, safety/regulatory checkpoints.</w:t>
      </w:r>
    </w:p>
    <w:bookmarkEnd w:id="20"/>
    <w:bookmarkStart w:id="21" w:name="phases"/>
    <w:p>
      <w:pPr>
        <w:pStyle w:val="2"/>
      </w:pPr>
      <w:r>
        <w:t xml:space="preserve">Phases</w:t>
      </w:r>
    </w:p>
    <w:p>
      <w:pPr>
        <w:pStyle w:val="FirstParagraph"/>
      </w:pPr>
      <w:r>
        <w:t xml:space="preserve">Phase A - Design &amp; Compliance (Q1-Q4 2027)</w:t>
      </w:r>
      <w:r>
        <w:t xml:space="preserve"> </w:t>
      </w:r>
      <w:r>
        <w:t xml:space="preserve">- Deliverables: final BOM, regulatory plan, risk assessment, insurance quotes.</w:t>
      </w:r>
      <w:r>
        <w:t xml:space="preserve"> </w:t>
      </w:r>
      <w:r>
        <w:t xml:space="preserve">- Activities: map each path to required sensor/actuator, produce electrical/mechanical drawings,</w:t>
      </w:r>
      <w:r>
        <w:t xml:space="preserve"> </w:t>
      </w:r>
      <w:r>
        <w:t xml:space="preserve">route supply chain for critical long-lead items.</w:t>
      </w:r>
    </w:p>
    <w:p>
      <w:pPr>
        <w:pStyle w:val="a0"/>
      </w:pPr>
      <w:r>
        <w:t xml:space="preserve">Phase B - Prototyping Lab (Q1-Q4 2028)</w:t>
      </w:r>
      <w:r>
        <w:t xml:space="preserve"> </w:t>
      </w:r>
      <w:r>
        <w:t xml:space="preserve">- Deliverables: bench prototypes for each channel class, signed acceptance tests.</w:t>
      </w:r>
      <w:r>
        <w:t xml:space="preserve"> </w:t>
      </w:r>
      <w:r>
        <w:t xml:space="preserve">- Activities: build shielded rooms, optical labs, quantum bench (if relevant), mycology containment.</w:t>
      </w:r>
    </w:p>
    <w:p>
      <w:pPr>
        <w:pStyle w:val="a0"/>
      </w:pPr>
      <w:r>
        <w:t xml:space="preserve">Phase C - Integration &amp; Harden (2029)</w:t>
      </w:r>
      <w:r>
        <w:t xml:space="preserve"> </w:t>
      </w:r>
      <w:r>
        <w:t xml:space="preserve">- Deliverables: integrated suite, continuous verification harness, formal SOPs.</w:t>
      </w:r>
      <w:r>
        <w:t xml:space="preserve"> </w:t>
      </w:r>
      <w:r>
        <w:t xml:space="preserve">- Activities: integrate acquisition network, HSM attestation, policy &amp; training.</w:t>
      </w:r>
    </w:p>
    <w:p>
      <w:pPr>
        <w:pStyle w:val="a0"/>
      </w:pPr>
      <w:r>
        <w:t xml:space="preserve">Phase D - Operational Certification (2030)</w:t>
      </w:r>
      <w:r>
        <w:t xml:space="preserve"> </w:t>
      </w:r>
      <w:r>
        <w:t xml:space="preserve">- Deliverables: audited lab, external verification toolkit, published canonical proofs.</w:t>
      </w:r>
      <w:r>
        <w:t xml:space="preserve"> </w:t>
      </w:r>
      <w:r>
        <w:t xml:space="preserve">- Activities: third-party audit, safety certs, release of sealed artifacts.</w:t>
      </w:r>
    </w:p>
    <w:bookmarkEnd w:id="21"/>
    <w:bookmarkStart w:id="22" w:name="representative-bom-per-channel"/>
    <w:p>
      <w:pPr>
        <w:pStyle w:val="2"/>
      </w:pPr>
      <w:r>
        <w:t xml:space="preserve">Representative BOM (per channel)</w:t>
      </w:r>
    </w:p>
    <w:p>
      <w:pPr>
        <w:pStyle w:val="FirstParagraph"/>
      </w:pPr>
      <w:r>
        <w:t xml:space="preserve">Temporal Bleed (TB)</w:t>
      </w:r>
      <w:r>
        <w:t xml:space="preserve"> </w:t>
      </w:r>
      <w:r>
        <w:t xml:space="preserve">- Primary: OCXO timebase (shortlist: Microsemi/SiTime), GNSS disciplined receiver (u-blox F9 family)</w:t>
      </w:r>
      <w:r>
        <w:t xml:space="preserve"> </w:t>
      </w:r>
      <w:r>
        <w:t xml:space="preserve">- Acquisition: FPGA board (Xilinx/Alveo or Intel Stratix for deterministic timestamp), signed timestamp module</w:t>
      </w:r>
      <w:r>
        <w:t xml:space="preserve"> </w:t>
      </w:r>
      <w:r>
        <w:t xml:space="preserve">- Test gear: 10 MHz rubidium reference (if budget), USB/GPIB DAQ for cross-checks</w:t>
      </w:r>
    </w:p>
    <w:p>
      <w:pPr>
        <w:pStyle w:val="a0"/>
      </w:pPr>
      <w:r>
        <w:t xml:space="preserve">Quantum Path Correlation (QPC)</w:t>
      </w:r>
      <w:r>
        <w:t xml:space="preserve"> </w:t>
      </w:r>
      <w:r>
        <w:t xml:space="preserve">- Primary: supplier depends on chosen platform (solid-state NV systems / superconducting)</w:t>
      </w:r>
      <w:r>
        <w:t xml:space="preserve"> </w:t>
      </w:r>
      <w:r>
        <w:t xml:space="preserve">- NV option: compact NV opto-module, green pump laser, SPAD arrays</w:t>
      </w:r>
      <w:r>
        <w:t xml:space="preserve"> </w:t>
      </w:r>
      <w:r>
        <w:t xml:space="preserve">- Cryo option: dilution fridge + qubit control stack (very high cost)</w:t>
      </w:r>
      <w:r>
        <w:t xml:space="preserve"> </w:t>
      </w:r>
      <w:r>
        <w:t xml:space="preserve">- Attestation: quantum challenge-response hardware, signed measurement log</w:t>
      </w:r>
    </w:p>
    <w:p>
      <w:pPr>
        <w:pStyle w:val="a0"/>
      </w:pPr>
      <w:r>
        <w:t xml:space="preserve">Biofield Modulation (BFM)</w:t>
      </w:r>
      <w:r>
        <w:t xml:space="preserve"> </w:t>
      </w:r>
      <w:r>
        <w:t xml:space="preserve">- Optical detectors: low-noise SPAD detectors (630 nm), spectrometers, optical filters, integrating sphere</w:t>
      </w:r>
      <w:r>
        <w:t xml:space="preserve"> </w:t>
      </w:r>
      <w:r>
        <w:t xml:space="preserve">- Biopotential: high CMRR differential amplifiers, active shielding, Faraday cage</w:t>
      </w:r>
      <w:r>
        <w:t xml:space="preserve"> </w:t>
      </w:r>
      <w:r>
        <w:t xml:space="preserve">- Environmental: light-tight enclosures, temperature control, contamination controls</w:t>
      </w:r>
    </w:p>
    <w:p>
      <w:pPr>
        <w:pStyle w:val="a0"/>
      </w:pPr>
      <w:r>
        <w:t xml:space="preserve">Mycelial Bridge (MB)</w:t>
      </w:r>
      <w:r>
        <w:t xml:space="preserve"> </w:t>
      </w:r>
      <w:r>
        <w:t xml:space="preserve">- Lab: biosafety level appropriate to work (BSL-1 or BSL-2 for certain fungi)</w:t>
      </w:r>
      <w:r>
        <w:t xml:space="preserve"> </w:t>
      </w:r>
      <w:r>
        <w:t xml:space="preserve">- Supplies: incubators, sterile hoods, metabolome LC-MS access (outsourced if needed)</w:t>
      </w:r>
      <w:r>
        <w:t xml:space="preserve"> </w:t>
      </w:r>
      <w:r>
        <w:t xml:space="preserve">- Controls: environmental logging (temp, humidity, CO2, air exchange)</w:t>
      </w:r>
    </w:p>
    <w:p>
      <w:pPr>
        <w:pStyle w:val="a0"/>
      </w:pPr>
      <w:r>
        <w:t xml:space="preserve">Direct Neural Coupling (DNC)</w:t>
      </w:r>
      <w:r>
        <w:t xml:space="preserve"> </w:t>
      </w:r>
      <w:r>
        <w:t xml:space="preserve">- Primary: MEG/EEG/OPM arrays (OPM being compact), synchronized acquisition, low-latency networks</w:t>
      </w:r>
      <w:r>
        <w:t xml:space="preserve"> </w:t>
      </w:r>
      <w:r>
        <w:t xml:space="preserve">- Safety: medical oversight, IRB approvals where human data are involved</w:t>
      </w:r>
      <w:r>
        <w:t xml:space="preserve"> </w:t>
      </w:r>
      <w:r>
        <w:t xml:space="preserve">- Attestation: HSM for signing acquisition records; chain-of-custody for participant data</w:t>
      </w:r>
    </w:p>
    <w:bookmarkEnd w:id="22"/>
    <w:bookmarkStart w:id="23" w:name="vendor-procurement-strategy"/>
    <w:p>
      <w:pPr>
        <w:pStyle w:val="2"/>
      </w:pPr>
      <w:r>
        <w:t xml:space="preserve">Vendor &amp; Procurement Strategy</w:t>
      </w:r>
    </w:p>
    <w:p>
      <w:pPr>
        <w:pStyle w:val="Compact"/>
        <w:numPr>
          <w:ilvl w:val="0"/>
          <w:numId w:val="1001"/>
        </w:numPr>
      </w:pPr>
      <w:r>
        <w:t xml:space="preserve">Always maintain at least 2 vetted suppliers per critical item.</w:t>
      </w:r>
    </w:p>
    <w:p>
      <w:pPr>
        <w:pStyle w:val="Compact"/>
        <w:numPr>
          <w:ilvl w:val="0"/>
          <w:numId w:val="1001"/>
        </w:numPr>
      </w:pPr>
      <w:r>
        <w:t xml:space="preserve">For long-lead items (cryogenics, custom optics), place N+1 orders and schedule overlapping delivery windows.</w:t>
      </w:r>
    </w:p>
    <w:p>
      <w:pPr>
        <w:pStyle w:val="Compact"/>
        <w:numPr>
          <w:ilvl w:val="0"/>
          <w:numId w:val="1001"/>
        </w:numPr>
      </w:pPr>
      <w:r>
        <w:t xml:space="preserve">Compliance: vendor contracts must include export control declarations and traceability for sensitive quantum hardware.</w:t>
      </w:r>
    </w:p>
    <w:bookmarkEnd w:id="23"/>
    <w:bookmarkStart w:id="24" w:name="regulatory-ethics-checklist"/>
    <w:p>
      <w:pPr>
        <w:pStyle w:val="2"/>
      </w:pPr>
      <w:r>
        <w:t xml:space="preserve">Regulatory &amp; Ethics Checklist</w:t>
      </w:r>
    </w:p>
    <w:p>
      <w:pPr>
        <w:pStyle w:val="Compact"/>
        <w:numPr>
          <w:ilvl w:val="0"/>
          <w:numId w:val="1002"/>
        </w:numPr>
      </w:pPr>
      <w:r>
        <w:t xml:space="preserve">Human subjects: IRB approval before any live tests involving humans.</w:t>
      </w:r>
    </w:p>
    <w:p>
      <w:pPr>
        <w:pStyle w:val="Compact"/>
        <w:numPr>
          <w:ilvl w:val="0"/>
          <w:numId w:val="1002"/>
        </w:numPr>
      </w:pPr>
      <w:r>
        <w:t xml:space="preserve">Biological: institutional biosafety committee (IBC) approvals for mycology work.</w:t>
      </w:r>
    </w:p>
    <w:p>
      <w:pPr>
        <w:pStyle w:val="Compact"/>
        <w:numPr>
          <w:ilvl w:val="0"/>
          <w:numId w:val="1002"/>
        </w:numPr>
      </w:pPr>
      <w:r>
        <w:t xml:space="preserve">Export Control: classify hardware and tech; consult counsel for EAR/ITAR.</w:t>
      </w:r>
    </w:p>
    <w:p>
      <w:pPr>
        <w:pStyle w:val="Compact"/>
        <w:numPr>
          <w:ilvl w:val="0"/>
          <w:numId w:val="1002"/>
        </w:numPr>
      </w:pPr>
      <w:r>
        <w:t xml:space="preserve">Data privacy: plan for pseudonymization, encrypted at-rest storage, and retention policy.</w:t>
      </w:r>
    </w:p>
    <w:bookmarkEnd w:id="24"/>
    <w:bookmarkStart w:id="25" w:name="lab-layout-security"/>
    <w:p>
      <w:pPr>
        <w:pStyle w:val="2"/>
      </w:pPr>
      <w:r>
        <w:t xml:space="preserve">Lab Layout &amp; Security</w:t>
      </w:r>
    </w:p>
    <w:p>
      <w:pPr>
        <w:pStyle w:val="Compact"/>
        <w:numPr>
          <w:ilvl w:val="0"/>
          <w:numId w:val="1003"/>
        </w:numPr>
      </w:pPr>
      <w:r>
        <w:t xml:space="preserve">Segregated zones: dirty (assembly), clean (sensitive acquisition), secure (HSM &amp; identity).</w:t>
      </w:r>
    </w:p>
    <w:p>
      <w:pPr>
        <w:pStyle w:val="Compact"/>
        <w:numPr>
          <w:ilvl w:val="0"/>
          <w:numId w:val="1003"/>
        </w:numPr>
      </w:pPr>
      <w:r>
        <w:t xml:space="preserve">Physical security: keyed access, per-zone logging, tamper-evident seals.</w:t>
      </w:r>
    </w:p>
    <w:p>
      <w:pPr>
        <w:pStyle w:val="Compact"/>
        <w:numPr>
          <w:ilvl w:val="0"/>
          <w:numId w:val="1003"/>
        </w:numPr>
      </w:pPr>
      <w:r>
        <w:t xml:space="preserve">Network: air-gapped acquisition VLAN, gateway for signed artifact export only.</w:t>
      </w:r>
    </w:p>
    <w:bookmarkEnd w:id="25"/>
    <w:bookmarkStart w:id="26" w:name="budget-timeline-summary"/>
    <w:p>
      <w:pPr>
        <w:pStyle w:val="2"/>
      </w:pPr>
      <w:r>
        <w:t xml:space="preserve">Budget &amp; Timeline (summary)</w:t>
      </w:r>
    </w:p>
    <w:p>
      <w:pPr>
        <w:pStyle w:val="Compact"/>
        <w:numPr>
          <w:ilvl w:val="0"/>
          <w:numId w:val="1004"/>
        </w:numPr>
      </w:pPr>
      <w:r>
        <w:t xml:space="preserve">Phase A: $150-250k (design, compliance)</w:t>
      </w:r>
    </w:p>
    <w:p>
      <w:pPr>
        <w:pStyle w:val="Compact"/>
        <w:numPr>
          <w:ilvl w:val="0"/>
          <w:numId w:val="1004"/>
        </w:numPr>
      </w:pPr>
      <w:r>
        <w:t xml:space="preserve">Phase B: $500-900k (bench prototypes)</w:t>
      </w:r>
    </w:p>
    <w:p>
      <w:pPr>
        <w:pStyle w:val="Compact"/>
        <w:numPr>
          <w:ilvl w:val="0"/>
          <w:numId w:val="1004"/>
        </w:numPr>
      </w:pPr>
      <w:r>
        <w:t xml:space="preserve">Phase C: $1.5-3M (integration &amp; certification)</w:t>
      </w:r>
    </w:p>
    <w:p>
      <w:pPr>
        <w:pStyle w:val="Compact"/>
        <w:numPr>
          <w:ilvl w:val="0"/>
          <w:numId w:val="1004"/>
        </w:numPr>
      </w:pPr>
      <w:r>
        <w:t xml:space="preserve">Phase D: $500k-1M (audit, publication)</w:t>
      </w:r>
    </w:p>
    <w:bookmarkEnd w:id="26"/>
    <w:bookmarkStart w:id="27" w:name="risk-registry-examples"/>
    <w:p>
      <w:pPr>
        <w:pStyle w:val="2"/>
      </w:pPr>
      <w:r>
        <w:t xml:space="preserve">Risk Registry (examples)</w:t>
      </w:r>
    </w:p>
    <w:p>
      <w:pPr>
        <w:pStyle w:val="Compact"/>
        <w:numPr>
          <w:ilvl w:val="0"/>
          <w:numId w:val="1005"/>
        </w:numPr>
      </w:pPr>
      <w:r>
        <w:t xml:space="preserve">Single-supplier risk for quantum optics -&gt; Mitigation: alternate design with NV &amp; cryo options.</w:t>
      </w:r>
    </w:p>
    <w:p>
      <w:pPr>
        <w:pStyle w:val="Compact"/>
        <w:numPr>
          <w:ilvl w:val="0"/>
          <w:numId w:val="1005"/>
        </w:numPr>
      </w:pPr>
      <w:r>
        <w:t xml:space="preserve">Human safety / ethics risk -&gt; Mitigation: pre-IRB mock tests, no live human tests without approvals.</w:t>
      </w:r>
    </w:p>
    <w:p>
      <w:pPr>
        <w:pStyle w:val="Compact"/>
        <w:numPr>
          <w:ilvl w:val="0"/>
          <w:numId w:val="1005"/>
        </w:numPr>
      </w:pPr>
      <w:r>
        <w:t xml:space="preserve">Supply chain delays -&gt; Mitigation: order critical components early; identify local rebuild options.</w:t>
      </w:r>
    </w:p>
    <w:p>
      <w:pPr>
        <w:pStyle w:val="FirstParagraph"/>
      </w:pPr>
      <w:r>
        <w:t xml:space="preserve">Appendices</w:t>
      </w:r>
      <w:r>
        <w:t xml:space="preserve"> </w:t>
      </w:r>
      <w:r>
        <w:t xml:space="preserve">- Shipment checklist</w:t>
      </w:r>
      <w:r>
        <w:t xml:space="preserve"> </w:t>
      </w:r>
      <w:r>
        <w:t xml:space="preserve">- Template SOW for lab testing</w:t>
      </w:r>
      <w:r>
        <w:t xml:space="preserve"> </w:t>
      </w:r>
      <w:r>
        <w:t xml:space="preserve">- Template IRB info sheet</w:t>
      </w:r>
    </w:p>
    <w:bookmarkEnd w:id="27"/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2026-05-04T10:02:27Z</dcterms:created>
  <dcterms:modified xsi:type="dcterms:W3CDTF">2026-05-04T10:02:27Z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cod65gsoa1c9lnvsgg-19deec8e-bf92-839d-8000-09aad63037cc-20260504100227","ReservedCode1":"","ContentPropagator":"001191110108MACG2KBH8F20000","PropagateID":"d7cod65gsoa1c9lnvsgg-19deec8e-bf92-839d-8000-09aad63037cc-20260504100227","ReservedCode2":""}</vt:lpwstr>
  </property>
</Properties>
</file>