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Material Agent 业务问题与技术方案</w:t>
      </w:r>
    </w:p>
    <w:p>
      <w:pPr/>
      <w:r>
        <w:t>本项目面向物料主数据治理与采购申请审核，将物料定位、库存与订单核对、采购测算、人工审批和执行核验组织为可追溯的业务流程。下文先给出可直接使用的项目介绍与亮点，再说明业务痛点、项目目标及各环节的实现方式。</w:t>
      </w:r>
    </w:p>
    <w:p>
      <w:pPr>
        <w:pStyle w:val="Heading1"/>
      </w:pPr>
      <w:r>
        <w:t>一 项目介绍与亮点</w:t>
      </w:r>
    </w:p>
    <w:p>
      <w:pPr>
        <w:pStyle w:val="Heading2"/>
      </w:pPr>
      <w:r>
        <w:t>Agent 驱动物料治理与采购决策辅助系统</w:t>
      </w:r>
    </w:p>
    <w:p>
      <w:pPr/>
      <w:r>
        <w:t>物料录入与采购申请需要跨物料台账、库存和历史订单核对，同物异名、规格混淆及在途数量不清容易引发重复建码、重复采购和库存积压；人工拼接证据耗时，直接由模型写入业务系统又缺少授权与执行确认。项目目标是让 Agent 完成可追溯的物料归因、重复风险识别和采购影响测算，将业务动作转化为有证据、有审批、可恢复、可核验的提案。</w:t>
      </w:r>
    </w:p>
    <w:p>
      <w:pPr>
        <w:pStyle w:val="ListBullet"/>
      </w:pPr>
      <w:r>
        <w:rPr>
          <w:b/>
        </w:rPr>
        <w:t>对齐多源物料证据：</w:t>
      </w:r>
      <w:r>
        <w:t xml:space="preserve"> 针对同物异名与物料、库存、订单口径分散的问题，为建立可复查的采购依据，通过 MCP Tool 与固定 CLI JSON 合约统一读取，校验物料标识、规格和单位，歧义时请求补充信息；离线检索标签案例 Top 5 命中 </w:t>
      </w:r>
      <w:r>
        <w:rPr>
          <w:b/>
        </w:rPr>
        <w:t>9/9</w:t>
      </w:r>
      <w:r>
        <w:t xml:space="preserve">，归因标签案例物料身份一致 </w:t>
      </w:r>
      <w:r>
        <w:rPr>
          <w:b/>
        </w:rPr>
        <w:t>9/9</w:t>
      </w:r>
      <w:r>
        <w:t>。</w:t>
      </w:r>
    </w:p>
    <w:p>
      <w:pPr>
        <w:pStyle w:val="ListBullet"/>
      </w:pPr>
      <w:r>
        <w:rPr>
          <w:b/>
        </w:rPr>
        <w:t>约束推理与上下文：</w:t>
      </w:r>
      <w:r>
        <w:t xml:space="preserve"> 针对长流程中历史信息干扰和工具越阶段调用的风险，为保留任务约束并按业务顺序核查，将物料发现至提案组织为显式阶段，结合 pi Runtime 限定工具，以五层上下文压缩轨迹并保留原始证据；</w:t>
      </w:r>
      <w:r>
        <w:rPr>
          <w:b/>
        </w:rPr>
        <w:t>10 个</w:t>
      </w:r>
      <w:r>
        <w:t xml:space="preserve">离线案例的成功工具序列位置匹配 </w:t>
      </w:r>
      <w:r>
        <w:rPr>
          <w:b/>
        </w:rPr>
        <w:t>78/78</w:t>
      </w:r>
      <w:r>
        <w:t>。</w:t>
      </w:r>
    </w:p>
    <w:p>
      <w:pPr>
        <w:pStyle w:val="ListBullet"/>
      </w:pPr>
      <w:r>
        <w:rPr>
          <w:b/>
        </w:rPr>
        <w:t>量化重复采购风险：</w:t>
      </w:r>
      <w:r>
        <w:t xml:space="preserve"> 针对冻结库存、已完成订单误计入供应导致采购量失真的问题，为辅助复核采购需求，按库存与订单状态核算有效供应，以确定性规则计算缺口、建议量和金额；轴承合成案例中建议采购 </w:t>
      </w:r>
      <w:r>
        <w:rPr>
          <w:b/>
        </w:rPr>
        <w:t>10 个</w:t>
      </w:r>
      <w:r>
        <w:t xml:space="preserve">，识别申请 </w:t>
      </w:r>
      <w:r>
        <w:rPr>
          <w:b/>
        </w:rPr>
        <w:t>15 个</w:t>
      </w:r>
      <w:r>
        <w:t xml:space="preserve">中的 </w:t>
      </w:r>
      <w:r>
        <w:rPr>
          <w:b/>
        </w:rPr>
        <w:t>5 个</w:t>
      </w:r>
      <w:r>
        <w:t xml:space="preserve">超额量及 </w:t>
      </w:r>
      <w:r>
        <w:rPr>
          <w:b/>
        </w:rPr>
        <w:t>62.50 元</w:t>
      </w:r>
      <w:r>
        <w:t>对应金额，供人工审阅。</w:t>
      </w:r>
    </w:p>
    <w:p>
      <w:pPr>
        <w:pStyle w:val="ListBullet"/>
      </w:pPr>
      <w:r>
        <w:rPr>
          <w:b/>
        </w:rPr>
        <w:t>守住执行与审批边界：</w:t>
      </w:r>
      <w:r>
        <w:t xml:space="preserve"> 针对模型直接写入、跨会话越权和旧批准复用的风险，为确保每笔动作有明确授权，在 PreToolUse 校验身份、阶段、证据及风险，将批准绑定提案版本、参数摘要与幂等键后执行；</w:t>
      </w:r>
      <w:r>
        <w:rPr>
          <w:b/>
        </w:rPr>
        <w:t>10 个</w:t>
      </w:r>
      <w:r>
        <w:t xml:space="preserve">合成案例中未经授权的模拟 ERP 写入为 </w:t>
      </w:r>
      <w:r>
        <w:rPr>
          <w:b/>
        </w:rPr>
        <w:t>0</w:t>
      </w:r>
      <w:r>
        <w:t>，待审批与拒绝场景均无写入。</w:t>
      </w:r>
    </w:p>
    <w:p>
      <w:pPr>
        <w:pStyle w:val="ListBullet"/>
      </w:pPr>
      <w:r>
        <w:rPr>
          <w:b/>
        </w:rPr>
        <w:t>闭合恢复与结果验证：</w:t>
      </w:r>
      <w:r>
        <w:t xml:space="preserve"> 针对审批跨运行及写入后中断容易重复建单的问题，为恢复进度并确认实际落地结果，以 SQLite 保存 checkpoint 与审批，结合租约、版本校验及 ERP 幂等查询恢复，再核对批准内容；</w:t>
      </w:r>
      <w:r>
        <w:rPr>
          <w:b/>
        </w:rPr>
        <w:t>2 个</w:t>
      </w:r>
      <w:r>
        <w:t xml:space="preserve">恢复案例全部通过，重复恢复各保持 </w:t>
      </w:r>
      <w:r>
        <w:rPr>
          <w:b/>
        </w:rPr>
        <w:t>1 笔</w:t>
      </w:r>
      <w:r>
        <w:t>写入，其中包含写后 checkpoint 中断且模型不可用场景。</w:t>
      </w:r>
    </w:p>
    <w:p>
      <w:pPr/>
      <w:r>
        <w:t>以上量化结果来自合成数据离线评测或示例测算，样本口径见第六节。采购金额为超额申请对应金额；真实模型质量、实际降本及工时收益尚未验证。</w:t>
      </w:r>
    </w:p>
    <w:p>
      <w:pPr>
        <w:pStyle w:val="Heading1"/>
        <w:pageBreakBefore/>
      </w:pPr>
      <w:r>
        <w:t>二 业务痛点与项目目标</w:t>
      </w:r>
    </w:p>
    <w:p>
      <w:pPr>
        <w:pStyle w:val="Heading2"/>
      </w:pPr>
      <w:r>
        <w:t>物料定位依赖经验容易选错或重复建码</w:t>
      </w:r>
    </w:p>
    <w:p>
      <w:pPr/>
      <w:r>
        <w:t>采购人员可能只拿到“轴承”等名称，同一名称下存在多个规格，历史记录还可能使用别名。仅按名称命中一条记录，无法确认它是否就是需求中的物料；没有找到某个关键词，也不能据此断定物料不存在。</w:t>
      </w:r>
    </w:p>
    <w:p>
      <w:pPr/>
      <w:r>
        <w:t>项目目标是先确认物料身份，再进入采购或录入流程。检索优先匹配编码，名称和别名结合规格、单位判断；候选不能唯一确定时请求补充信息。拟新增物料还需按自身编码、名称和别名再次查重，已有物料返回复用建议，证据不足时暂停。</w:t>
      </w:r>
    </w:p>
    <w:p>
      <w:pPr>
        <w:pStyle w:val="Heading2"/>
      </w:pPr>
      <w:r>
        <w:t>库存和订单状态不清容易误判采购需求</w:t>
      </w:r>
    </w:p>
    <w:p>
      <w:pPr/>
      <w:r>
        <w:t>账面数量不等于可供使用的数量：冻结与报废库存不可用于本次需求，已确认订单可能只收到一部分，而历史完成订单不能再次算作在途。人工只看库存总数或采购总量，容易把供应算多或算少。</w:t>
      </w:r>
    </w:p>
    <w:p>
      <w:pPr/>
      <w:r>
        <w:t>项目目标是明确“能用多少、还会到多少、还缺多少”。按状态和剩余数量核算可用供应，将需求、安全库存和本次申请纳入同一测算，给出建议采购量及超额申请金额。存在库存或在途表示需要复核，新增采购是否合理仍结合需求判断。</w:t>
      </w:r>
    </w:p>
    <w:p>
      <w:pPr>
        <w:pStyle w:val="Heading2"/>
      </w:pPr>
      <w:r>
        <w:t>判断和执行缺少证据与责任边界</w:t>
      </w:r>
    </w:p>
    <w:p>
      <w:pPr/>
      <w:r>
        <w:t>一句“建议采购”不足以说明判断依据，也无法回答使用了哪笔库存、哪类订单以及哪些约束。模型若能直接改变数量或写入业务系统，错误归因可能进一步变成错误采购单。</w:t>
      </w:r>
    </w:p>
    <w:p>
      <w:pPr/>
      <w:r>
        <w:t>项目目标是让模型负责受约束的工具调用与证据解释，让代码规则负责身份一致性、数量金额和执行授权。提案保留参数和证据，审批者确认具体版本；业务用户只能处理自己的会话，身份和角色从服务端 token 配置取得。</w:t>
      </w:r>
    </w:p>
    <w:p>
      <w:pPr>
        <w:pStyle w:val="Heading2"/>
      </w:pPr>
      <w:r>
        <w:t>审批等待与执行中断容易导致重复操作</w:t>
      </w:r>
    </w:p>
    <w:p>
      <w:pPr/>
      <w:r>
        <w:t>采购审核可能跨越多次运行，审批后需求也可能修改。尤其在“订单已写入，但应用还没记录结果”时重新执行，容易生成第二笔订单；把旧批准用于修改后的提案，也会改变审批者原本确认的事项。</w:t>
      </w:r>
    </w:p>
    <w:p>
      <w:pPr/>
      <w:r>
        <w:t>项目目标是保存任务进度和审批绑定，需求变化后重新取证并使旧审批失效。恢复先确认外部动作是否已完成，成功后再核验结果，避免仅凭本地状态决定重写。</w:t>
      </w:r>
    </w:p>
    <w:p>
      <w:pPr>
        <w:pStyle w:val="Heading1"/>
      </w:pPr>
      <w:r>
        <w:t>三 从业务需求到结果验证的完整链路</w:t>
      </w:r>
    </w:p>
    <w:p>
      <w:pPr>
        <w:keepNext/>
      </w:pPr>
      <w:r>
        <w:t>整体链路为：业务需求 → 数据接入 → Agent 推理 → 上下文控制 → 动作提案 → 权限拦截 → 人工审批 → 恢复与受控执行 → 结果验证。</w:t>
      </w:r>
    </w:p>
    <w:p>
      <w:pPr/>
      <w:r>
        <w:t>上下文控制贯穿推理过程，权限检查发生在每次工具调用之前；链路中的动作先形成可审阅提案，实际写入在权限与审批通过后发生。</w:t>
      </w:r>
    </w:p>
    <w:p>
      <w:pPr>
        <w:pStyle w:val="Heading2"/>
      </w:pPr>
      <w:r>
        <w:t>业务需求转化为有约束的任务</w:t>
      </w:r>
    </w:p>
    <w:p>
      <w:pPr/>
      <w:r>
        <w:t>用户通过 API 或 CLI 提交采购任务或物料录入任务。采购任务包含物料线索、规格与单位约束，以及需求量、安全库存和申请量；物料录入提供拟新增主数据。系统把任务、所属用户和当前阶段保存为 Session。</w:t>
      </w:r>
    </w:p>
    <w:p>
      <w:pPr/>
      <w:r>
        <w:t>字段缺失和负数、错误单位等不能被模型猜测补齐。无法确定物料或缺少测算要素时，系统返回 NEED_MORE_EVIDENCE，业务人员补充后从物料发现阶段重新推进。</w:t>
      </w:r>
    </w:p>
    <w:p>
      <w:pPr>
        <w:pStyle w:val="Heading2"/>
      </w:pPr>
      <w:r>
        <w:t>数据接入先统一合约再校验事实</w:t>
      </w:r>
    </w:p>
    <w:p>
      <w:pPr/>
      <w:r>
        <w:t>物料、采购历史和库存通过统一 DataSource 读取，支持本地数据、实际运行的 MCP stdio 客户端与服务端，以及 CLI JSON 子进程适配。MCP 支持工具发现与参数校验；CLI 只执行配置登记的程序和参数，通过标准输入输出传递 JSON。</w:t>
      </w:r>
    </w:p>
    <w:p>
      <w:pPr/>
      <w:r>
        <w:t>进入证据层前同时检查结构与业务身份：候选重新匹配查询约束，详情必须与已选候选一致，库存和采购记录必须属于目标物料。工具失败、超时或脏数据按错误返回，不伪装为成功查询或零库存。结果持久化为带来源和标识的 EvidenceRef，供后续判断与审阅。</w:t>
      </w:r>
    </w:p>
    <w:p>
      <w:pPr>
        <w:pStyle w:val="Heading2"/>
      </w:pPr>
      <w:r>
        <w:t>Agent 推理在阶段和事实范围内进行</w:t>
      </w:r>
    </w:p>
    <w:p>
      <w:pPr/>
      <w:r>
        <w:t>业务状态机决定当前需要完成的步骤；pi Agent Runtime 负责模型交互及工具调用。在允许阶段中，模型可选择额外只读工具，并通过 record_attribution 提交基于证据的解释和未校准置信值。选定物料、任务数量和策略约束由服务端绑定，模型输出不能替代这些约束。</w:t>
      </w:r>
    </w:p>
    <w:p>
      <w:pPr/>
      <w:r>
        <w:t>采购流程依次完成物料发现、归因、重复校验、影响测算和提案。歧义交由业务人员澄清；模型调用设置轮次和时间预算，未产生有效工具结果时进入相应错误或恢复状态。默认演示使用明确标记的固定模拟模型流，真实模型解释质量仍需独立验证。</w:t>
      </w:r>
    </w:p>
    <w:p>
      <w:pPr>
        <w:pStyle w:val="Heading2"/>
      </w:pPr>
      <w:r>
        <w:t>上下文控制保留判断所需的信息</w:t>
      </w:r>
    </w:p>
    <w:p>
      <w:pPr/>
      <w:r>
        <w:t>长流程中的历史对话和重复工具结果容易占满上下文，也可能让当前任务被过时信息干扰。项目将 ContextPack 分为任务、证据引用、工具轨迹、状态和策略五层，按当前阶段提供结构化输入。</w:t>
      </w:r>
    </w:p>
    <w:p>
      <w:pPr/>
      <w:r>
        <w:t>近期证据引用最多保留 32 个，单条事实摘要最多 1000 字符，事实包按 24000 字符预算削减；较早工具轨迹压缩为摘要和近期记录。原始工具结果完整保存在 SQLite，截断摘要明确标记，任务与策略不由普通历史摘要覆盖。外部返回文本作为数据处理，不能替代工具权限或业务规则。</w:t>
      </w:r>
    </w:p>
    <w:p>
      <w:pPr>
        <w:pStyle w:val="Heading2"/>
      </w:pPr>
      <w:r>
        <w:t>执行动作先成为有依据的提案</w:t>
      </w:r>
    </w:p>
    <w:p>
      <w:pPr/>
      <w:r>
        <w:t>重复校验给出已有物料、有效库存、未完成采购及历史订单的证据。采购测算采用公式：</w:t>
      </w:r>
      <w:r>
        <w:rPr>
          <w:b/>
        </w:rPr>
        <w:t>建议采购量 = max(0，需求量 + 安全库存 − 可用库存 − 已确认在途量)</w:t>
      </w:r>
      <w:r>
        <w:t>。同时计算申请后的预计库存、缺口、超额申请量和金额；金额以最小货币单位存储并检查溢出。</w:t>
      </w:r>
    </w:p>
    <w:p>
      <w:pPr/>
      <w:r>
        <w:t>Proposal 固化拟录入物料或申请采购量、证据引用、版本、参数摘要和幂等键，供审批审阅。采购提案使用用户申请量，建议量作为决策依据；若希望改为建议量，需要业务用户修改任务并形成新版本。物料录入查到已有物料时结束为复用建议，未命中且新增字段完整时才提出录入动作。</w:t>
      </w:r>
    </w:p>
    <w:p>
      <w:pPr>
        <w:pStyle w:val="Heading2"/>
      </w:pPr>
      <w:r>
        <w:t>权限拦截检查每一次工具调用</w:t>
      </w:r>
    </w:p>
    <w:p>
      <w:pPr/>
      <w:r>
        <w:t>所有工具经统一 Router 执行，PreToolUse 策略根据登记的风险、允许阶段、身份、证据完整性和审批绑定作出 ALLOW、APPROVAL 或 DENY 决策。L0 查询和 L1 校验测算在身份与阶段通过后可执行；L2 提案要求证据与规则通过；L3 模拟 ERP 写入要求批准当前版本。</w:t>
      </w:r>
    </w:p>
    <w:p>
      <w:pPr/>
      <w:r>
        <w:t>工具风险由服务端注册表确定，请求体中的角色或模型声称的低风险不能改变它。调用还需匹配会话、已选物料和提案参数，防止把合法工具用于其他物料或其他用户的任务。API 与 CLI 共用应用服务及权限规则。</w:t>
      </w:r>
    </w:p>
    <w:p>
      <w:pPr>
        <w:pStyle w:val="Heading2"/>
      </w:pPr>
      <w:r>
        <w:t>人工审批确认的是具体业务动作</w:t>
      </w:r>
    </w:p>
    <w:p>
      <w:pPr/>
      <w:r>
        <w:t>审批角色查看提案及相关证据，提交批准或拒绝与原因。批准记录绑定 sessionId、工具、proposalId、版本、argsHash 和 idempotencyKey；修改需求后，旧批准失效，新的执行必须匹配新提案。</w:t>
      </w:r>
    </w:p>
    <w:p>
      <w:pPr/>
      <w:r>
        <w:t>审批决定仅更新审批记录，由业务用户调用 resume 继续推进。拒绝后保留提案与原因，同版本不会自动重新执行。这样能区分“生成建议”“确认动作”和“执行动作”，并保存每一步的责任与依据。</w:t>
      </w:r>
    </w:p>
    <w:p>
      <w:pPr>
        <w:pStyle w:val="Heading2"/>
      </w:pPr>
      <w:r>
        <w:t>恢复先核对已发生的动作</w:t>
      </w:r>
    </w:p>
    <w:p>
      <w:pPr/>
      <w:r>
        <w:t>状态迁移与 checkpoint、状态事件在事务中保存，审批创建和等待审批状态同事务绑定。执行租约防止同一会话并发推进，乐观版本检查防止旧状态覆盖新状态。相同幂等键与参数复用结果，不同参数复用键返回冲突。</w:t>
      </w:r>
    </w:p>
    <w:p>
      <w:pPr/>
      <w:r>
        <w:t>模拟 ERP 将业务写入和幂等结果一起提交。若写入后应用中断，恢复先查询 ERP 幂等记录，再验证审批与参数；已提交的匹配结果可以在模型不可用时直接核验，无需重新写入。只读工具限次重试，写入结果无法确认时进入 RECOVERABLE，按幂等合约恢复。</w:t>
      </w:r>
    </w:p>
    <w:p>
      <w:pPr>
        <w:pStyle w:val="Heading2"/>
      </w:pPr>
      <w:r>
        <w:t>验证实际结果后才结束流程</w:t>
      </w:r>
    </w:p>
    <w:p>
      <w:pPr/>
      <w:r>
        <w:t>工具返回成功不足以代表业务正确落地。Verify 检查实际执行记录的动作类型、参数摘要及 payload 是否与批准提案一致；物料录入还核对落地的主数据。通过后才标记 COMPLETED，差异保留为错误供排查。</w:t>
      </w:r>
    </w:p>
    <w:p>
      <w:pPr/>
      <w:r>
        <w:t>模型调用、工具结果、策略决定、审批与状态变化记录为审计事件，为业务复查和评测提供依据。固定场景与故障注入进一步检查是否存在未批准写入、重复写入、审批改版失效或恢复失败。</w:t>
      </w:r>
    </w:p>
    <w:p>
      <w:pPr>
        <w:pStyle w:val="Heading1"/>
      </w:pPr>
      <w:r>
        <w:t>四 一个采购场景如何体现业务价值</w:t>
      </w:r>
    </w:p>
    <w:p>
      <w:pPr/>
      <w:r>
        <w:t>业务人员申请采购 BRG-6204 轴承 15 个，用于满足需求 20 个并维持安全库存 3 个。证据显示可用库存 8 个、已确认在途 5 个，另有冻结库存 99 个、报废库存 20 个及历史已完成采购 100 个。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2551"/>
        <w:gridCol w:w="4082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CEF"/>
          </w:tcPr>
          <w:p>
            <w:pPr>
              <w:spacing w:after="60" w:before="60"/>
            </w:pPr>
            <w:r>
              <w:rPr>
                <w:b/>
                <w:sz w:val="20"/>
              </w:rPr>
              <w:t>审阅项目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CEF"/>
          </w:tcPr>
          <w:p>
            <w:pPr>
              <w:spacing w:after="60" w:before="60"/>
              <w:jc w:val="center"/>
            </w:pPr>
            <w:r>
              <w:rPr>
                <w:b/>
                <w:sz w:val="20"/>
              </w:rPr>
              <w:t>结果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CEF"/>
          </w:tcPr>
          <w:p>
            <w:pPr>
              <w:spacing w:after="60" w:before="60"/>
            </w:pPr>
            <w:r>
              <w:rPr>
                <w:b/>
                <w:sz w:val="20"/>
              </w:rPr>
              <w:t>依据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可计入供应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库存 8 个 在途 5 个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可用库存扣预留 在途扣已收货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建议采购量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10 个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max(0，20 + 3 − 8 − 5)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本次申请后的预计库存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8 个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8 + 5 + 15 − 20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超额申请量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5 个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15 − 10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申请金额与建议金额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187.50 元与 125.00 元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单价 12.50 元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超额申请对应金额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62.50 元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5 × 12.50</w:t>
            </w:r>
          </w:p>
        </w:tc>
      </w:tr>
    </w:tbl>
    <w:p>
      <w:pPr>
        <w:spacing w:after="20"/>
      </w:pPr>
    </w:p>
    <w:p>
      <w:pPr/>
      <w:r>
        <w:t>系统据此标记库存与在途的重复风险，并提供测算和证据供审核。冻结、报废和完成采购不计入供应。62.50 元是本案例的超额申请对应金额，不能当作已经实现的降本收益。</w:t>
      </w:r>
    </w:p>
    <w:p>
      <w:pPr/>
      <w:r>
        <w:t>审批者可以基于业务原因批准原申请；此时模拟 ERP 按批准的 15 个创建采购单并核验。若业务人员决定改为 10 个，应修改任务、重新生成提案并审批。等待审批期间写入为零，批准后执行一笔，重复恢复复用已有结果。</w:t>
      </w:r>
    </w:p>
    <w:p>
      <w:pPr>
        <w:pStyle w:val="Heading1"/>
      </w:pPr>
      <w:r>
        <w:t>五 技术选择与实现落点</w:t>
      </w:r>
    </w:p>
    <w:p>
      <w:pPr/>
      <w:r>
        <w:rPr>
          <w:b/>
        </w:rPr>
        <w:t>Node.js 与 TypeScript：</w:t>
      </w:r>
      <w:r>
        <w:t xml:space="preserve"> 严格类型与统一领域接口贯穿 Task、ToolCall、ToolResult、EvidenceRef、Proposal 和 PolicyDecision，减少 API、CLI 与工具适配之间的合约偏差。Fastify 提供 HTTP 入口和 OpenAPI，CLI 复用 Application；首版不增加 Web 前端。</w:t>
      </w:r>
    </w:p>
    <w:p>
      <w:pPr/>
      <w:r>
        <w:rPr>
          <w:b/>
        </w:rPr>
        <w:t>pi Runtime 与显式状态机：</w:t>
      </w:r>
      <w:r>
        <w:t xml:space="preserve"> Planner 负责模型交互和阶段内工具调用，Workflow 负责流程推进、等待、补证据与恢复。两者组合使自然语言解释受到业务阶段约束，Domain 负责可复查的物料匹配、状态过滤和数量金额计算。</w:t>
      </w:r>
    </w:p>
    <w:p>
      <w:pPr/>
      <w:r>
        <w:rPr>
          <w:b/>
        </w:rPr>
        <w:t>MCP 与 CLI 适配层：</w:t>
      </w:r>
      <w:r>
        <w:t xml:space="preserve"> 本地 stdio 服务提供四个只读数据工具；统一 DataSource、Zod 参数及结果 schema 将接入差异收敛为一致合约。固定子进程配置、超时与输出限制约束调用范围，模型无法生成任意 shell 命令。新的真实数据源需要遵循合约完成映射和校验。</w:t>
      </w:r>
    </w:p>
    <w:p>
      <w:pPr/>
      <w:r>
        <w:rPr>
          <w:b/>
        </w:rPr>
        <w:t>SQLite 与统一执行控制：</w:t>
      </w:r>
      <w:r>
        <w:t xml:space="preserve"> Session/Store 保存证据、提案版本、审批、checkpoint、执行和事件，Harness/Router 统一检查权限与风险，Verify 核对实际结果。SQLite 中的模拟 ERP 使执行与幂等恢复可重复验证；接入真实 ERP 后仍需对方提供结果查询与幂等合约。</w:t>
      </w:r>
    </w:p>
    <w:p>
      <w:pPr/>
      <w:r>
        <w:rPr>
          <w:b/>
        </w:rPr>
        <w:t>测试与评测：</w:t>
      </w:r>
      <w:r>
        <w:t xml:space="preserve"> Vitest 覆盖领域规则、会话隔离、MCP/CLI 子进程、pi 流适配、审批与故障恢复。Benchmark 使用独立标注检查检索、归因、重复识别、工具选择、权限违规、恢复和端到端七类指标，CI 在 Windows 与 Linux 的 Node.js 24 环境运行相同工程验证。</w:t>
      </w:r>
    </w:p>
    <w:p>
      <w:pPr/>
      <w:r>
        <w:t>主要实现位置为 src/agent、src/domain、src/tools、src/context、src/harness、src/session、src/verify 与 src/benchmark；配置由 src/config.ts 管理，接口入口位于 src/api 和 src/cli.ts。运行步骤、完整接口和配置字段见 docs/project-overview.md。</w:t>
      </w:r>
    </w:p>
    <w:p>
      <w:pPr>
        <w:pStyle w:val="Heading1"/>
        <w:pageBreakBefore/>
      </w:pPr>
      <w:r>
        <w:t>六 当前验证结果与业务接入边界</w:t>
      </w:r>
    </w:p>
    <w:p>
      <w:pPr/>
      <w:r>
        <w:t>2026 年 10 月 6 日复核，53 项测试及 10 个固定合成 Benchmark 案例通过，未经授权的模拟 ERP 写入为零。既有交付记录中的类型检查、构建和 Windows/Linux CI 通过。案例覆盖采购、物料录入、歧义补充、数据缺失、审批批准与拒绝、重启及写后中断恢复。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5"/>
        <w:gridCol w:w="2551"/>
        <w:gridCol w:w="4082"/>
      </w:tblGrid>
      <w:tr>
        <w:trPr>
          <w:cantSplit/>
          <w:tblHeader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CEF"/>
          </w:tcPr>
          <w:p>
            <w:pPr>
              <w:spacing w:after="60" w:before="60"/>
            </w:pPr>
            <w:r>
              <w:rPr>
                <w:b/>
                <w:sz w:val="20"/>
              </w:rPr>
              <w:t>量化项目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CEF"/>
          </w:tcPr>
          <w:p>
            <w:pPr>
              <w:spacing w:after="60" w:before="60"/>
              <w:jc w:val="center"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  <w:shd w:fill="E9ECEF"/>
          </w:tcPr>
          <w:p>
            <w:pPr>
              <w:spacing w:after="60" w:before="60"/>
            </w:pPr>
            <w:r>
              <w:rPr>
                <w:b/>
                <w:sz w:val="20"/>
              </w:rPr>
              <w:t>样本与计算口径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物料检索 Top 5 命中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9/9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9 个含检索标签的案例 包含歧义候选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物料身份归因一致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9/9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9 个含归因标签的案例 不评价解释质量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成功工具序列位置匹配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78/78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10 个案例的成功工具结果与独立标注逐位置比较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未经授权的模拟写入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0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10 个案例 检查审批前写入及包含越权探测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恢复案例通过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2/2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重启与重复恢复 写后 checkpoint 中断且模型不可用</w:t>
            </w:r>
          </w:p>
        </w:tc>
      </w:tr>
      <w:tr>
        <w:trPr>
          <w:cantSplit/>
        </w:trPr>
        <w:tc>
          <w:tcPr>
            <w:tcW w:type="dxa" w:w="3005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恢复案例最终写入数</w:t>
            </w:r>
          </w:p>
        </w:tc>
        <w:tc>
          <w:tcPr>
            <w:tcW w:type="dxa" w:w="2551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  <w:jc w:val="center"/>
            </w:pPr>
            <w:r>
              <w:rPr>
                <w:b w:val="0"/>
                <w:sz w:val="20"/>
              </w:rPr>
              <w:t>每例 1 笔</w:t>
            </w:r>
          </w:p>
        </w:tc>
        <w:tc>
          <w:tcPr>
            <w:tcW w:type="dxa" w:w="4082"/>
            <w:vAlign w:val="center"/>
            <w:tcMar>
              <w:top w:w="95" w:type="dxa"/>
              <w:left w:w="95" w:type="dxa"/>
              <w:bottom w:w="95" w:type="dxa"/>
              <w:right w:w="95" w:type="dxa"/>
            </w:tcMar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两个案例均恢复完成 重复运行未新增写入</w:t>
            </w:r>
          </w:p>
        </w:tc>
      </w:tr>
    </w:tbl>
    <w:p>
      <w:pPr>
        <w:spacing w:after="20"/>
      </w:pPr>
    </w:p>
    <w:p>
      <w:pPr/>
      <w:r>
        <w:t>检索与归因各有 9 个标签案例，两组样本不完全相同：新物料录入没有既有物料检索标签，未澄清的歧义案例没有唯一归因标签。工具序列按成功工具结果计分；被拦截或失败的调用另进入审计，不计为成功工具选择。恢复故障为受控注入，不代表生产断电或分布式压力验证。</w:t>
      </w:r>
    </w:p>
    <w:p>
      <w:pPr/>
      <w:r>
        <w:t>当前物料、采购及库存均为合成数据，执行对象为可持久化的模拟 ERP。真实模型配置及 MCP/CLI 适配能力已实现；真实模型因缺少凭据尚未验证，真实 ERP 与企业数据尚未接入。离线指标说明固定案例中的工程行为符合预期，不能推出真实业务准确率、审批效率提升比例或采购节约金额。</w:t>
      </w:r>
    </w:p>
    <w:p>
      <w:pPr/>
      <w:r>
        <w:t>后续业务落地应先验证真实模型，再接入真实只读数据，建立由业务人员标注的评测集并开展小范围审核试用。开放生产写入前，需要补齐企业身份、审批有效期与组织职责分离、数据时效检查、真实 ERP 幂等查询，以及部署监控和恢复策略。</w:t>
      </w:r>
    </w:p>
    <w:sectPr w:rsidR="00FC693F" w:rsidRPr="0006063C" w:rsidSect="00034616">
      <w:footerReference w:type="default" r:id="rId9"/>
      <w:pgSz w:w="11906" w:h="16838"/>
      <w:pgMar w:top="1077" w:right="1134" w:bottom="1191" w:left="1134" w:header="72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Material Agent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4" w:lineRule="auto" w:after="11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10" w:line="27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10" w:line="27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10" w:line="274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74" w:lineRule="auto" w:after="110"/>
      <w:ind w:left="283" w:hanging="170"/>
      <w:contextualSpacing/>
    </w:pPr>
    <w:rPr>
      <w:rFonts w:ascii="Microsoft YaHei" w:hAnsi="Microsoft YaHei" w:eastAsia="Microsoft YaHe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Material Agent 业务问题与技术方案</dc:title>
  <dc:subject>物料治理与采购辅助的业务需求和技术实现</dc:subject>
  <dc:creator>Material Agent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