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BTitle"/>
        <w:jc w:val="center"/>
      </w:pPr>
      <w:r>
        <w:t>DreamBuZZ</w:t>
      </w:r>
    </w:p>
    <w:p>
      <w:pPr>
        <w:pStyle w:val="DBSubtitle"/>
        <w:jc w:val="center"/>
      </w:pPr>
      <w:r>
        <w:t>Confidential Information Memorandum</w:t>
        <w:br/>
        <w:t>Seed Round (Series Seed) - 2026</w:t>
      </w:r>
    </w:p>
    <w:p/>
    <w:tbl>
      <w:tblPr>
        <w:tblStyle w:val="TableGrid"/>
        <w:tblW w:type="auto" w:w="0"/>
        <w:jc w:val="center"/>
        <w:tblLook w:firstColumn="1" w:firstRow="1" w:lastColumn="0" w:lastRow="0" w:noHBand="0" w:noVBand="1" w:val="04A0"/>
      </w:tblPr>
      <w:tblGrid>
        <w:gridCol w:w="4986"/>
        <w:gridCol w:w="4986"/>
      </w:tblGrid>
      <w:tr>
        <w:tc>
          <w:tcPr>
            <w:tcW w:type="dxa" w:w="2268"/>
          </w:tcPr>
          <w:p>
            <w:r>
              <w:rPr>
                <w:rFonts w:ascii="Calibri" w:hAnsi="Calibri"/>
                <w:sz w:val="20"/>
              </w:rPr>
              <w:t>Issuer</w:t>
            </w:r>
          </w:p>
        </w:tc>
        <w:tc>
          <w:tcPr>
            <w:tcW w:type="dxa" w:w="6236"/>
          </w:tcPr>
          <w:p>
            <w:r>
              <w:rPr>
                <w:rFonts w:ascii="Calibri" w:hAnsi="Calibri"/>
                <w:sz w:val="20"/>
              </w:rPr>
              <w:t>DreamBuZZ App Limited (New Zealand limited company)</w:t>
            </w:r>
          </w:p>
        </w:tc>
      </w:tr>
      <w:tr>
        <w:tc>
          <w:tcPr>
            <w:tcW w:type="dxa" w:w="2268"/>
          </w:tcPr>
          <w:p>
            <w:r>
              <w:rPr>
                <w:rFonts w:ascii="Calibri" w:hAnsi="Calibri"/>
                <w:sz w:val="20"/>
              </w:rPr>
              <w:t>Offering</w:t>
            </w:r>
          </w:p>
        </w:tc>
        <w:tc>
          <w:tcPr>
            <w:tcW w:type="dxa" w:w="6236"/>
          </w:tcPr>
          <w:p>
            <w:r>
              <w:rPr>
                <w:rFonts w:ascii="Calibri" w:hAnsi="Calibri"/>
                <w:sz w:val="20"/>
              </w:rPr>
              <w:t>Seed financing (SAFE or priced equity)</w:t>
            </w:r>
          </w:p>
        </w:tc>
      </w:tr>
      <w:tr>
        <w:tc>
          <w:tcPr>
            <w:tcW w:type="dxa" w:w="2268"/>
          </w:tcPr>
          <w:p>
            <w:r>
              <w:rPr>
                <w:rFonts w:ascii="Calibri" w:hAnsi="Calibri"/>
                <w:sz w:val="20"/>
              </w:rPr>
              <w:t>Target raise</w:t>
            </w:r>
          </w:p>
        </w:tc>
        <w:tc>
          <w:tcPr>
            <w:tcW w:type="dxa" w:w="6236"/>
          </w:tcPr>
          <w:p>
            <w:r>
              <w:rPr>
                <w:rFonts w:ascii="Calibri" w:hAnsi="Calibri"/>
                <w:sz w:val="20"/>
              </w:rPr>
              <w:t>AUD 5.0 million</w:t>
            </w:r>
          </w:p>
        </w:tc>
      </w:tr>
      <w:tr>
        <w:tc>
          <w:tcPr>
            <w:tcW w:type="dxa" w:w="2268"/>
          </w:tcPr>
          <w:p>
            <w:r>
              <w:rPr>
                <w:rFonts w:ascii="Calibri" w:hAnsi="Calibri"/>
                <w:sz w:val="20"/>
              </w:rPr>
              <w:t>Pre-money valuation (indicative)</w:t>
            </w:r>
          </w:p>
        </w:tc>
        <w:tc>
          <w:tcPr>
            <w:tcW w:type="dxa" w:w="6236"/>
          </w:tcPr>
          <w:p>
            <w:r>
              <w:rPr>
                <w:rFonts w:ascii="Calibri" w:hAnsi="Calibri"/>
                <w:sz w:val="20"/>
              </w:rPr>
              <w:t>AUD 25.0 million</w:t>
            </w:r>
          </w:p>
        </w:tc>
      </w:tr>
      <w:tr>
        <w:tc>
          <w:tcPr>
            <w:tcW w:type="dxa" w:w="2268"/>
          </w:tcPr>
          <w:p>
            <w:r>
              <w:rPr>
                <w:rFonts w:ascii="Calibri" w:hAnsi="Calibri"/>
                <w:sz w:val="20"/>
              </w:rPr>
              <w:t>Use of proceeds</w:t>
            </w:r>
          </w:p>
        </w:tc>
        <w:tc>
          <w:tcPr>
            <w:tcW w:type="dxa" w:w="6236"/>
          </w:tcPr>
          <w:p>
            <w:r>
              <w:rPr>
                <w:rFonts w:ascii="Calibri" w:hAnsi="Calibri"/>
                <w:sz w:val="20"/>
              </w:rPr>
              <w:t>Product + AI buildout, hiring, operations, marketing, and CAPEX (12-month plan)</w:t>
            </w:r>
          </w:p>
        </w:tc>
      </w:tr>
      <w:tr>
        <w:tc>
          <w:tcPr>
            <w:tcW w:type="dxa" w:w="2268"/>
          </w:tcPr>
          <w:p>
            <w:r>
              <w:rPr>
                <w:rFonts w:ascii="Calibri" w:hAnsi="Calibri"/>
                <w:sz w:val="20"/>
              </w:rPr>
              <w:t>Primary contact</w:t>
            </w:r>
          </w:p>
        </w:tc>
        <w:tc>
          <w:tcPr>
            <w:tcW w:type="dxa" w:w="6236"/>
          </w:tcPr>
          <w:p>
            <w:r>
              <w:rPr>
                <w:rFonts w:ascii="Calibri" w:hAnsi="Calibri"/>
                <w:sz w:val="20"/>
              </w:rPr>
              <w:t>Nuzhat Jahan (Founder &amp; Director) | Lahara.Jahan@gmail.com | WhatsApp: +64 27 490 4137</w:t>
            </w:r>
          </w:p>
        </w:tc>
      </w:tr>
      <w:tr>
        <w:tc>
          <w:tcPr>
            <w:tcW w:type="dxa" w:w="2268"/>
          </w:tcPr>
          <w:p>
            <w:r>
              <w:rPr>
                <w:rFonts w:ascii="Calibri" w:hAnsi="Calibri"/>
                <w:sz w:val="20"/>
              </w:rPr>
              <w:t>Date</w:t>
            </w:r>
          </w:p>
        </w:tc>
        <w:tc>
          <w:tcPr>
            <w:tcW w:type="dxa" w:w="6236"/>
          </w:tcPr>
          <w:p>
            <w:r>
              <w:rPr>
                <w:rFonts w:ascii="Calibri" w:hAnsi="Calibri"/>
                <w:sz w:val="20"/>
              </w:rPr>
              <w:t>19 February 2026</w:t>
            </w:r>
          </w:p>
        </w:tc>
      </w:tr>
    </w:tbl>
    <w:p/>
    <w:p>
      <w:pPr>
        <w:spacing w:after="80"/>
        <w:jc w:val="center"/>
      </w:pPr>
      <w:r>
        <w:rPr>
          <w:b/>
          <w:i w:val="0"/>
          <w:sz w:val="24"/>
        </w:rPr>
        <w:t>IMPORTANT NOTICE</w:t>
      </w:r>
    </w:p>
    <w:p>
      <w:pPr>
        <w:spacing w:after="200"/>
      </w:pPr>
      <w:r>
        <w:rPr>
          <w:b w:val="0"/>
          <w:i w:val="0"/>
        </w:rPr>
        <w:t>This memorandum is confidential and is being furnished solely for the purpose of evaluating a potential investment in DreamBuZZ App Limited. It is not intended to form the basis of any investment decision and is not a prospectus, offering memorandum, or disclosure document under any securities laws. Recipients should conduct their own due diligence and consult their professional advisers.</w:t>
      </w:r>
    </w:p>
    <w:p>
      <w:r>
        <w:br w:type="page"/>
      </w:r>
    </w:p>
    <w:p>
      <w:pPr>
        <w:pStyle w:val="Heading1"/>
      </w:pPr>
      <w:r>
        <w:t>Confidentiality, Disclaimer and Forward-Looking Statements</w:t>
      </w:r>
    </w:p>
    <w:p>
      <w:pPr>
        <w:spacing w:after="120"/>
      </w:pPr>
      <w:r>
        <w:rPr>
          <w:b w:val="0"/>
          <w:i w:val="0"/>
        </w:rPr>
        <w:t>This Confidential Information Memorandum (CIM) has been prepared by DreamBuZZ App Limited (the Company) for discussion purposes only. The information contained herein is confidential and proprietary to the Company and may not be reproduced, distributed, or disclosed to any third party without the Company’s prior written consent.</w:t>
      </w:r>
    </w:p>
    <w:p>
      <w:pPr>
        <w:spacing w:after="120"/>
      </w:pPr>
      <w:r>
        <w:rPr>
          <w:b w:val="0"/>
          <w:i w:val="0"/>
        </w:rPr>
        <w:t>This CIM does not constitute an offer to sell or a solicitation of an offer to buy securities in any jurisdiction. Any offer of securities, if made, will be done only pursuant to definitive legal documentation and in compliance with applicable laws and regulations. The Company may terminate discussions at any time and is under no obligation to accept any investment proposal.</w:t>
      </w:r>
    </w:p>
    <w:p>
      <w:pPr>
        <w:spacing w:after="120"/>
      </w:pPr>
      <w:r>
        <w:rPr>
          <w:b w:val="0"/>
          <w:i w:val="0"/>
        </w:rPr>
        <w:t>Certain statements in this CIM are forward-looking, including projections and statements regarding future performance, product development, market opportunity, and strategic plans. Forward-looking statements are inherently uncertain and based on assumptions that may not prove to be accurate. Actual results may differ materially. Investors should not place undue reliance on forward-looking statements.</w:t>
      </w:r>
    </w:p>
    <w:p>
      <w:pPr>
        <w:spacing w:after="120"/>
      </w:pPr>
      <w:r>
        <w:rPr>
          <w:b w:val="0"/>
          <w:i w:val="0"/>
        </w:rPr>
        <w:t>Unless otherwise indicated, market and industry data have been sourced from third-party publications cited by the Company in its investor materials. Such sources are believed to be reliable, but the Company has not independently verified them.</w:t>
      </w:r>
    </w:p>
    <w:p>
      <w:r>
        <w:br w:type="page"/>
      </w:r>
    </w:p>
    <w:p>
      <w:pPr>
        <w:pStyle w:val="Heading1"/>
      </w:pPr>
      <w:r>
        <w:t>Table of Contents</w:t>
      </w:r>
    </w:p>
    <w:p>
      <w:pPr>
        <w:pStyle w:val="ListNumber"/>
        <w:spacing w:after="40"/>
      </w:pPr>
      <w:r>
        <w:t>1. Executive Summary</w:t>
      </w:r>
    </w:p>
    <w:p>
      <w:pPr>
        <w:pStyle w:val="ListNumber"/>
        <w:spacing w:after="40"/>
      </w:pPr>
      <w:r>
        <w:t>2. Investment Highlights</w:t>
      </w:r>
    </w:p>
    <w:p>
      <w:pPr>
        <w:pStyle w:val="ListNumber"/>
        <w:spacing w:after="40"/>
      </w:pPr>
      <w:r>
        <w:t>3. Transaction Overview and Key Terms</w:t>
      </w:r>
    </w:p>
    <w:p>
      <w:pPr>
        <w:pStyle w:val="ListNumber"/>
        <w:spacing w:after="40"/>
      </w:pPr>
      <w:r>
        <w:t>4. Company Overview</w:t>
      </w:r>
    </w:p>
    <w:p>
      <w:pPr>
        <w:pStyle w:val="ListNumber"/>
        <w:spacing w:after="40"/>
      </w:pPr>
      <w:r>
        <w:t>5. Problem Statement and Customer Need</w:t>
      </w:r>
    </w:p>
    <w:p>
      <w:pPr>
        <w:pStyle w:val="ListNumber"/>
        <w:spacing w:after="40"/>
      </w:pPr>
      <w:r>
        <w:t>6. Product and Solution Overview</w:t>
      </w:r>
    </w:p>
    <w:p>
      <w:pPr>
        <w:pStyle w:val="ListNumber"/>
        <w:spacing w:after="40"/>
      </w:pPr>
      <w:r>
        <w:t>7. Technology, Data, and Intellectual Property</w:t>
      </w:r>
    </w:p>
    <w:p>
      <w:pPr>
        <w:pStyle w:val="ListNumber"/>
        <w:spacing w:after="40"/>
      </w:pPr>
      <w:r>
        <w:t>8. Business Model and Monetization</w:t>
      </w:r>
    </w:p>
    <w:p>
      <w:pPr>
        <w:pStyle w:val="ListNumber"/>
        <w:spacing w:after="40"/>
      </w:pPr>
      <w:r>
        <w:t>9. Go-to-Market Strategy</w:t>
      </w:r>
    </w:p>
    <w:p>
      <w:pPr>
        <w:pStyle w:val="ListNumber"/>
        <w:spacing w:after="40"/>
      </w:pPr>
      <w:r>
        <w:t>10. Traction and Key Performance Indicators</w:t>
      </w:r>
    </w:p>
    <w:p>
      <w:pPr>
        <w:pStyle w:val="ListNumber"/>
        <w:spacing w:after="40"/>
      </w:pPr>
      <w:r>
        <w:t>11. Market Opportunity and Expansion Strategy</w:t>
      </w:r>
    </w:p>
    <w:p>
      <w:pPr>
        <w:pStyle w:val="ListNumber"/>
        <w:spacing w:after="40"/>
      </w:pPr>
      <w:r>
        <w:t>12. Competitive Landscape</w:t>
      </w:r>
    </w:p>
    <w:p>
      <w:pPr>
        <w:pStyle w:val="ListNumber"/>
        <w:spacing w:after="40"/>
      </w:pPr>
      <w:r>
        <w:t>13. Financial Projections and Unit Economics</w:t>
      </w:r>
    </w:p>
    <w:p>
      <w:pPr>
        <w:pStyle w:val="ListNumber"/>
        <w:spacing w:after="40"/>
      </w:pPr>
      <w:r>
        <w:t>14. Use of Proceeds, Operating Plan, and 12-Month Roadmap</w:t>
      </w:r>
    </w:p>
    <w:p>
      <w:pPr>
        <w:pStyle w:val="ListNumber"/>
        <w:spacing w:after="40"/>
      </w:pPr>
      <w:r>
        <w:t>15. Team, Governance, and Organization</w:t>
      </w:r>
    </w:p>
    <w:p>
      <w:pPr>
        <w:pStyle w:val="ListNumber"/>
        <w:spacing w:after="40"/>
      </w:pPr>
      <w:r>
        <w:t>16. Corporate Structure, Capitalization, and Legal</w:t>
      </w:r>
    </w:p>
    <w:p>
      <w:pPr>
        <w:pStyle w:val="ListNumber"/>
        <w:spacing w:after="40"/>
      </w:pPr>
      <w:r>
        <w:t>17. Risk Factors and Mitigation</w:t>
      </w:r>
    </w:p>
    <w:p>
      <w:pPr>
        <w:pStyle w:val="ListNumber"/>
        <w:spacing w:after="40"/>
      </w:pPr>
      <w:r>
        <w:t>18. Exit Considerations</w:t>
      </w:r>
    </w:p>
    <w:p>
      <w:pPr>
        <w:pStyle w:val="ListNumber"/>
        <w:spacing w:after="40"/>
      </w:pPr>
      <w:r>
        <w:t>Appendix A: Corporate Documents and Data Room Index</w:t>
      </w:r>
    </w:p>
    <w:p>
      <w:pPr>
        <w:pStyle w:val="ListNumber"/>
        <w:spacing w:after="40"/>
      </w:pPr>
      <w:r>
        <w:t>Appendix B: KPI Definitions and Investor Reporting Pack (Template)</w:t>
      </w:r>
    </w:p>
    <w:p>
      <w:pPr>
        <w:pStyle w:val="ListNumber"/>
        <w:spacing w:after="40"/>
      </w:pPr>
      <w:r>
        <w:t>Appendix C: Diligence Checklist (Seed Round)</w:t>
      </w:r>
    </w:p>
    <w:p>
      <w:pPr>
        <w:pStyle w:val="ListNumber"/>
        <w:spacing w:after="40"/>
      </w:pPr>
      <w:r>
        <w:t>Appendix D: Draft Term Sheet Outline (Template)</w:t>
      </w:r>
    </w:p>
    <w:p>
      <w:pPr>
        <w:pStyle w:val="ListNumber"/>
        <w:spacing w:after="40"/>
      </w:pPr>
      <w:r>
        <w:t>Appendix E: Glossary of Terms</w:t>
      </w:r>
    </w:p>
    <w:p>
      <w:pPr>
        <w:pStyle w:val="ListNumber"/>
        <w:spacing w:after="40"/>
      </w:pPr>
      <w:r>
        <w:t>Appendix F: Investor Q&amp;A (Common Questions)</w:t>
      </w:r>
    </w:p>
    <w:p>
      <w:pPr>
        <w:spacing w:after="120"/>
      </w:pPr>
      <w:r>
        <w:rPr>
          <w:b w:val="0"/>
          <w:i/>
        </w:rPr>
        <w:t>Note: Replace with an auto-generated Table of Contents in Microsoft Word if desired.</w:t>
      </w:r>
    </w:p>
    <w:p>
      <w:r>
        <w:br w:type="page"/>
      </w:r>
    </w:p>
    <w:p>
      <w:pPr>
        <w:pStyle w:val="Heading1"/>
      </w:pPr>
      <w:r>
        <w:t>1. Executive Summary</w:t>
      </w:r>
    </w:p>
    <w:p>
      <w:pPr>
        <w:spacing w:after="120"/>
      </w:pPr>
      <w:r>
        <w:rPr>
          <w:b w:val="0"/>
          <w:i w:val="0"/>
        </w:rPr>
        <w:t>DreamBuZZ is an AI-powered dream interpretation and mental wellness platform designed to help users find clarity, connection, and inner peace. The Company combines personalized dream interpretation with sleep meditation, journaling and educational content, and a community matching feature called Dream Pal. The seed round aims to accelerate product buildout, international expansion, and initial enterprise partnerships over a 12-month execution window.</w:t>
      </w:r>
    </w:p>
    <w:tbl>
      <w:tblPr>
        <w:tblStyle w:val="TableGrid"/>
        <w:tblW w:type="auto" w:w="0"/>
        <w:jc w:val="center"/>
        <w:tblLook w:firstColumn="1" w:firstRow="1" w:lastColumn="0" w:lastRow="0" w:noHBand="0" w:noVBand="1" w:val="04A0"/>
      </w:tblPr>
      <w:tblGrid>
        <w:gridCol w:w="4986"/>
        <w:gridCol w:w="4986"/>
      </w:tblGrid>
      <w:tr>
        <w:tc>
          <w:tcPr>
            <w:tcW w:type="dxa" w:w="3402"/>
          </w:tcPr>
          <w:p>
            <w:r>
              <w:rPr>
                <w:rFonts w:ascii="Calibri" w:hAnsi="Calibri"/>
                <w:sz w:val="20"/>
              </w:rPr>
              <w:t>Metric / item</w:t>
            </w:r>
          </w:p>
        </w:tc>
        <w:tc>
          <w:tcPr>
            <w:tcW w:type="dxa" w:w="5102"/>
          </w:tcPr>
          <w:p>
            <w:r>
              <w:rPr>
                <w:rFonts w:ascii="Calibri" w:hAnsi="Calibri"/>
                <w:sz w:val="20"/>
              </w:rPr>
              <w:t>Company-stated</w:t>
            </w:r>
          </w:p>
        </w:tc>
      </w:tr>
      <w:tr>
        <w:tc>
          <w:tcPr>
            <w:tcW w:type="dxa" w:w="3402"/>
          </w:tcPr>
          <w:p>
            <w:r>
              <w:rPr>
                <w:rFonts w:ascii="Calibri" w:hAnsi="Calibri"/>
                <w:sz w:val="20"/>
              </w:rPr>
              <w:t>Raise</w:t>
            </w:r>
          </w:p>
        </w:tc>
        <w:tc>
          <w:tcPr>
            <w:tcW w:type="dxa" w:w="5102"/>
          </w:tcPr>
          <w:p>
            <w:r>
              <w:rPr>
                <w:rFonts w:ascii="Calibri" w:hAnsi="Calibri"/>
                <w:sz w:val="20"/>
              </w:rPr>
              <w:t>AUD 5.0m seed round</w:t>
            </w:r>
          </w:p>
        </w:tc>
      </w:tr>
      <w:tr>
        <w:tc>
          <w:tcPr>
            <w:tcW w:type="dxa" w:w="3402"/>
          </w:tcPr>
          <w:p>
            <w:r>
              <w:rPr>
                <w:rFonts w:ascii="Calibri" w:hAnsi="Calibri"/>
                <w:sz w:val="20"/>
              </w:rPr>
              <w:t>Valuation</w:t>
            </w:r>
          </w:p>
        </w:tc>
        <w:tc>
          <w:tcPr>
            <w:tcW w:type="dxa" w:w="5102"/>
          </w:tcPr>
          <w:p>
            <w:r>
              <w:rPr>
                <w:rFonts w:ascii="Calibri" w:hAnsi="Calibri"/>
                <w:sz w:val="20"/>
              </w:rPr>
              <w:t>AUD 25.0m pre-money (indicative)</w:t>
            </w:r>
          </w:p>
        </w:tc>
      </w:tr>
      <w:tr>
        <w:tc>
          <w:tcPr>
            <w:tcW w:type="dxa" w:w="3402"/>
          </w:tcPr>
          <w:p>
            <w:r>
              <w:rPr>
                <w:rFonts w:ascii="Calibri" w:hAnsi="Calibri"/>
                <w:sz w:val="20"/>
              </w:rPr>
              <w:t>Users / clients</w:t>
            </w:r>
          </w:p>
        </w:tc>
        <w:tc>
          <w:tcPr>
            <w:tcW w:type="dxa" w:w="5102"/>
          </w:tcPr>
          <w:p>
            <w:r>
              <w:rPr>
                <w:rFonts w:ascii="Calibri" w:hAnsi="Calibri"/>
                <w:sz w:val="20"/>
              </w:rPr>
              <w:t>30,000+ reached via books &amp; platform</w:t>
            </w:r>
          </w:p>
        </w:tc>
      </w:tr>
      <w:tr>
        <w:tc>
          <w:tcPr>
            <w:tcW w:type="dxa" w:w="3402"/>
          </w:tcPr>
          <w:p>
            <w:r>
              <w:rPr>
                <w:rFonts w:ascii="Calibri" w:hAnsi="Calibri"/>
                <w:sz w:val="20"/>
              </w:rPr>
              <w:t>Retention</w:t>
            </w:r>
          </w:p>
        </w:tc>
        <w:tc>
          <w:tcPr>
            <w:tcW w:type="dxa" w:w="5102"/>
          </w:tcPr>
          <w:p>
            <w:r>
              <w:rPr>
                <w:rFonts w:ascii="Calibri" w:hAnsi="Calibri"/>
                <w:sz w:val="20"/>
              </w:rPr>
              <w:t>~80% (reported)</w:t>
            </w:r>
          </w:p>
        </w:tc>
      </w:tr>
      <w:tr>
        <w:tc>
          <w:tcPr>
            <w:tcW w:type="dxa" w:w="3402"/>
          </w:tcPr>
          <w:p>
            <w:r>
              <w:rPr>
                <w:rFonts w:ascii="Calibri" w:hAnsi="Calibri"/>
                <w:sz w:val="20"/>
              </w:rPr>
              <w:t>Pricing anchors</w:t>
            </w:r>
          </w:p>
        </w:tc>
        <w:tc>
          <w:tcPr>
            <w:tcW w:type="dxa" w:w="5102"/>
          </w:tcPr>
          <w:p>
            <w:r>
              <w:rPr>
                <w:rFonts w:ascii="Calibri" w:hAnsi="Calibri"/>
                <w:sz w:val="20"/>
              </w:rPr>
              <w:t>USD 19/month subscription; USD 11 one-off interpretation</w:t>
            </w:r>
          </w:p>
        </w:tc>
      </w:tr>
      <w:tr>
        <w:tc>
          <w:tcPr>
            <w:tcW w:type="dxa" w:w="3402"/>
          </w:tcPr>
          <w:p>
            <w:r>
              <w:rPr>
                <w:rFonts w:ascii="Calibri" w:hAnsi="Calibri"/>
                <w:sz w:val="20"/>
              </w:rPr>
              <w:t>Runway</w:t>
            </w:r>
          </w:p>
        </w:tc>
        <w:tc>
          <w:tcPr>
            <w:tcW w:type="dxa" w:w="5102"/>
          </w:tcPr>
          <w:p>
            <w:r>
              <w:rPr>
                <w:rFonts w:ascii="Calibri" w:hAnsi="Calibri"/>
                <w:sz w:val="20"/>
              </w:rPr>
              <w:t>12 months target runway</w:t>
            </w:r>
          </w:p>
        </w:tc>
      </w:tr>
    </w:tbl>
    <w:p/>
    <w:p>
      <w:pPr>
        <w:spacing w:after="120"/>
      </w:pPr>
      <w:r>
        <w:rPr>
          <w:b w:val="0"/>
          <w:i w:val="0"/>
        </w:rPr>
        <w:t>Investment rationale: DreamBuZZ’s differentiated product thesis combines personalized AI interpretation with community connection, multi-language reach, and a founder-led proprietary research dataset. If executed successfully, this creates a potential flywheel: more users -&gt; better interpretations and matching -&gt; stronger retention -&gt; better unit economics -&gt; accelerated growth.</w:t>
      </w:r>
    </w:p>
    <w:p>
      <w:pPr>
        <w:spacing w:after="120"/>
      </w:pPr>
      <w:r>
        <w:rPr>
          <w:b w:val="0"/>
          <w:i w:val="0"/>
        </w:rPr>
        <w:t>Key diligence focus areas: (i) retention validity and cohort durability, (ii) interpretation quality and safety controls, (iii) acquisition economics and channel scalability, (iv) data privacy posture, and (v) ability to recruit a high-caliber engineering and growth team.</w:t>
      </w:r>
    </w:p>
    <w:p>
      <w:pPr>
        <w:pStyle w:val="Heading1"/>
      </w:pPr>
      <w:r>
        <w:t>2. Investment Highlights</w:t>
      </w:r>
    </w:p>
    <w:p>
      <w:pPr>
        <w:pStyle w:val="ListBullet"/>
        <w:spacing w:after="40"/>
        <w:ind w:left="283"/>
      </w:pPr>
      <w:r>
        <w:t>Large addressable market opportunity in wellness and mental wellness (Company-cited data indicates significant growth through 2027/2031).</w:t>
      </w:r>
    </w:p>
    <w:p>
      <w:pPr>
        <w:pStyle w:val="ListBullet"/>
        <w:spacing w:after="40"/>
        <w:ind w:left="283"/>
      </w:pPr>
      <w:r>
        <w:t>Early validation: 30,000+ clients reached and 80% retention reported in early cohorts.</w:t>
      </w:r>
    </w:p>
    <w:p>
      <w:pPr>
        <w:pStyle w:val="ListBullet"/>
        <w:spacing w:after="40"/>
        <w:ind w:left="283"/>
      </w:pPr>
      <w:r>
        <w:t>Differentiated value proposition: personalized interpretation, not generic dream-dictionary outputs; built for habit formation via journaling, meditation, and community.</w:t>
      </w:r>
    </w:p>
    <w:p>
      <w:pPr>
        <w:pStyle w:val="ListBullet"/>
        <w:spacing w:after="40"/>
        <w:ind w:left="283"/>
      </w:pPr>
      <w:r>
        <w:t>Defensibility levers: 13+ years of founder research, proprietary content and books, multi-language product (EN/AR/FA), and network effects from Dream Pal matching.</w:t>
      </w:r>
    </w:p>
    <w:p>
      <w:pPr>
        <w:pStyle w:val="ListBullet"/>
        <w:spacing w:after="40"/>
        <w:ind w:left="283"/>
      </w:pPr>
      <w:r>
        <w:t>Multiple monetization paths: subscription + transactional products + B2B corporate wellness and white-label licensing.</w:t>
      </w:r>
    </w:p>
    <w:p>
      <w:pPr>
        <w:pStyle w:val="ListBullet"/>
        <w:spacing w:after="40"/>
        <w:ind w:left="283"/>
      </w:pPr>
      <w:r>
        <w:t>Clear 12-month roadmap including iOS/Android buildout, AI interpretation model launch, initial market expansions (India/UAE/UK), and Series A preparation.</w:t>
      </w:r>
    </w:p>
    <w:p>
      <w:pPr>
        <w:pStyle w:val="Heading2"/>
      </w:pPr>
      <w:r>
        <w:t>2.1 Investment Thesis (Illustrative)</w:t>
      </w:r>
    </w:p>
    <w:p>
      <w:pPr>
        <w:spacing w:after="120"/>
      </w:pPr>
      <w:r>
        <w:rPr>
          <w:b w:val="0"/>
          <w:i w:val="0"/>
        </w:rPr>
        <w:t>An institutional investment thesis can be framed around the following pillars:</w:t>
      </w:r>
    </w:p>
    <w:p>
      <w:pPr>
        <w:pStyle w:val="ListNumber"/>
        <w:spacing w:after="40"/>
      </w:pPr>
      <w:r>
        <w:t>Behavioral insight loop: dreams as a high-frequency, emotionally salient signal that supports daily/weekly engagement.</w:t>
      </w:r>
    </w:p>
    <w:p>
      <w:pPr>
        <w:pStyle w:val="ListNumber"/>
        <w:spacing w:after="40"/>
      </w:pPr>
      <w:r>
        <w:t>Personalization moat: superior interpretation quality driven by data, context, and continuous learning.</w:t>
      </w:r>
    </w:p>
    <w:p>
      <w:pPr>
        <w:pStyle w:val="ListNumber"/>
        <w:spacing w:after="40"/>
      </w:pPr>
      <w:r>
        <w:t>Community network effects: Dream Pal increases perceived value with scale, improving retention and reducing acquisition costs via referrals.</w:t>
      </w:r>
    </w:p>
    <w:p>
      <w:pPr>
        <w:pStyle w:val="ListNumber"/>
        <w:spacing w:after="40"/>
      </w:pPr>
      <w:r>
        <w:t>Multi-language advantage: early expansion into markets where dream interpretation is culturally resonant and under-served by Western-centric tools.</w:t>
      </w:r>
    </w:p>
    <w:p>
      <w:pPr>
        <w:pStyle w:val="ListNumber"/>
        <w:spacing w:after="40"/>
      </w:pPr>
      <w:r>
        <w:t>Platform expansion: adjacent products in sleep, meditation, journaling, and corporate wellness create cross-sell and lifetime value uplift.</w:t>
      </w:r>
    </w:p>
    <w:p>
      <w:pPr>
        <w:pStyle w:val="Heading1"/>
      </w:pPr>
      <w:r>
        <w:t>3. Transaction Overview and Key Terms</w:t>
      </w:r>
    </w:p>
    <w:p>
      <w:pPr>
        <w:spacing w:after="120"/>
      </w:pPr>
      <w:r>
        <w:rPr>
          <w:b w:val="0"/>
          <w:i w:val="0"/>
        </w:rPr>
        <w:t>The Company is seeking seed financing to accelerate product development, scale distribution, and establish a foundation for international growth.</w:t>
      </w:r>
    </w:p>
    <w:tbl>
      <w:tblPr>
        <w:tblStyle w:val="TableGrid"/>
        <w:tblW w:type="auto" w:w="0"/>
        <w:jc w:val="center"/>
        <w:tblLook w:firstColumn="1" w:firstRow="1" w:lastColumn="0" w:lastRow="0" w:noHBand="0" w:noVBand="1" w:val="04A0"/>
      </w:tblPr>
      <w:tblGrid>
        <w:gridCol w:w="4986"/>
        <w:gridCol w:w="4986"/>
      </w:tblGrid>
      <w:tr>
        <w:tc>
          <w:tcPr>
            <w:tcW w:type="dxa" w:w="2835"/>
          </w:tcPr>
          <w:p>
            <w:r>
              <w:rPr>
                <w:rFonts w:ascii="Calibri" w:hAnsi="Calibri"/>
                <w:sz w:val="20"/>
              </w:rPr>
              <w:t>Item</w:t>
            </w:r>
          </w:p>
        </w:tc>
        <w:tc>
          <w:tcPr>
            <w:tcW w:type="dxa" w:w="5669"/>
          </w:tcPr>
          <w:p>
            <w:r>
              <w:rPr>
                <w:rFonts w:ascii="Calibri" w:hAnsi="Calibri"/>
                <w:sz w:val="20"/>
              </w:rPr>
              <w:t>Proposed Seed Round (Indicative)</w:t>
            </w:r>
          </w:p>
        </w:tc>
      </w:tr>
      <w:tr>
        <w:tc>
          <w:tcPr>
            <w:tcW w:type="dxa" w:w="2835"/>
          </w:tcPr>
          <w:p>
            <w:r>
              <w:rPr>
                <w:rFonts w:ascii="Calibri" w:hAnsi="Calibri"/>
                <w:sz w:val="20"/>
              </w:rPr>
              <w:t>Raise size</w:t>
            </w:r>
          </w:p>
        </w:tc>
        <w:tc>
          <w:tcPr>
            <w:tcW w:type="dxa" w:w="5669"/>
          </w:tcPr>
          <w:p>
            <w:r>
              <w:rPr>
                <w:rFonts w:ascii="Calibri" w:hAnsi="Calibri"/>
                <w:sz w:val="20"/>
              </w:rPr>
              <w:t>AUD 5.0 million</w:t>
            </w:r>
          </w:p>
        </w:tc>
      </w:tr>
      <w:tr>
        <w:tc>
          <w:tcPr>
            <w:tcW w:type="dxa" w:w="2835"/>
          </w:tcPr>
          <w:p>
            <w:r>
              <w:rPr>
                <w:rFonts w:ascii="Calibri" w:hAnsi="Calibri"/>
                <w:sz w:val="20"/>
              </w:rPr>
              <w:t>Valuation</w:t>
            </w:r>
          </w:p>
        </w:tc>
        <w:tc>
          <w:tcPr>
            <w:tcW w:type="dxa" w:w="5669"/>
          </w:tcPr>
          <w:p>
            <w:r>
              <w:rPr>
                <w:rFonts w:ascii="Calibri" w:hAnsi="Calibri"/>
                <w:sz w:val="20"/>
              </w:rPr>
              <w:t>AUD 25.0 million pre-money (indicative)</w:t>
            </w:r>
          </w:p>
        </w:tc>
      </w:tr>
      <w:tr>
        <w:tc>
          <w:tcPr>
            <w:tcW w:type="dxa" w:w="2835"/>
          </w:tcPr>
          <w:p>
            <w:r>
              <w:rPr>
                <w:rFonts w:ascii="Calibri" w:hAnsi="Calibri"/>
                <w:sz w:val="20"/>
              </w:rPr>
              <w:t>Instrument</w:t>
            </w:r>
          </w:p>
        </w:tc>
        <w:tc>
          <w:tcPr>
            <w:tcW w:type="dxa" w:w="5669"/>
          </w:tcPr>
          <w:p>
            <w:r>
              <w:rPr>
                <w:rFonts w:ascii="Calibri" w:hAnsi="Calibri"/>
                <w:sz w:val="20"/>
              </w:rPr>
              <w:t>SAFE or priced equity round (to be agreed)</w:t>
            </w:r>
          </w:p>
        </w:tc>
      </w:tr>
      <w:tr>
        <w:tc>
          <w:tcPr>
            <w:tcW w:type="dxa" w:w="2835"/>
          </w:tcPr>
          <w:p>
            <w:r>
              <w:rPr>
                <w:rFonts w:ascii="Calibri" w:hAnsi="Calibri"/>
                <w:sz w:val="20"/>
              </w:rPr>
              <w:t>Minimum ticket</w:t>
            </w:r>
          </w:p>
        </w:tc>
        <w:tc>
          <w:tcPr>
            <w:tcW w:type="dxa" w:w="5669"/>
          </w:tcPr>
          <w:p>
            <w:r>
              <w:rPr>
                <w:rFonts w:ascii="Calibri" w:hAnsi="Calibri"/>
                <w:sz w:val="20"/>
              </w:rPr>
              <w:t>AUD 100,000</w:t>
            </w:r>
          </w:p>
        </w:tc>
      </w:tr>
      <w:tr>
        <w:tc>
          <w:tcPr>
            <w:tcW w:type="dxa" w:w="2835"/>
          </w:tcPr>
          <w:p>
            <w:r>
              <w:rPr>
                <w:rFonts w:ascii="Calibri" w:hAnsi="Calibri"/>
                <w:sz w:val="20"/>
              </w:rPr>
              <w:t>Investor rights</w:t>
            </w:r>
          </w:p>
        </w:tc>
        <w:tc>
          <w:tcPr>
            <w:tcW w:type="dxa" w:w="5669"/>
          </w:tcPr>
          <w:p>
            <w:r>
              <w:rPr>
                <w:rFonts w:ascii="Calibri" w:hAnsi="Calibri"/>
                <w:sz w:val="20"/>
              </w:rPr>
              <w:t>Pro-rata rights for follow-on; quarterly updates; board observer seat for AUD 500k+ (indicative)</w:t>
            </w:r>
          </w:p>
        </w:tc>
      </w:tr>
      <w:tr>
        <w:tc>
          <w:tcPr>
            <w:tcW w:type="dxa" w:w="2835"/>
          </w:tcPr>
          <w:p>
            <w:r>
              <w:rPr>
                <w:rFonts w:ascii="Calibri" w:hAnsi="Calibri"/>
                <w:sz w:val="20"/>
              </w:rPr>
              <w:t>Runway</w:t>
            </w:r>
          </w:p>
        </w:tc>
        <w:tc>
          <w:tcPr>
            <w:tcW w:type="dxa" w:w="5669"/>
          </w:tcPr>
          <w:p>
            <w:r>
              <w:rPr>
                <w:rFonts w:ascii="Calibri" w:hAnsi="Calibri"/>
                <w:sz w:val="20"/>
              </w:rPr>
              <w:t>Target ~12 months runway</w:t>
            </w:r>
          </w:p>
        </w:tc>
      </w:tr>
      <w:tr>
        <w:tc>
          <w:tcPr>
            <w:tcW w:type="dxa" w:w="2835"/>
          </w:tcPr>
          <w:p>
            <w:r>
              <w:rPr>
                <w:rFonts w:ascii="Calibri" w:hAnsi="Calibri"/>
                <w:sz w:val="20"/>
              </w:rPr>
              <w:t>Planned next round</w:t>
            </w:r>
          </w:p>
        </w:tc>
        <w:tc>
          <w:tcPr>
            <w:tcW w:type="dxa" w:w="5669"/>
          </w:tcPr>
          <w:p>
            <w:r>
              <w:rPr>
                <w:rFonts w:ascii="Calibri" w:hAnsi="Calibri"/>
                <w:sz w:val="20"/>
              </w:rPr>
              <w:t>Series A preparation during Q4 of the execution plan (indicative)</w:t>
            </w:r>
          </w:p>
        </w:tc>
      </w:tr>
    </w:tbl>
    <w:p/>
    <w:p>
      <w:pPr>
        <w:pStyle w:val="Heading2"/>
      </w:pPr>
      <w:r>
        <w:t>3.1 Use of Proceeds Summary (Company stated)</w:t>
      </w:r>
    </w:p>
    <w:p>
      <w:pPr>
        <w:spacing w:after="120"/>
      </w:pPr>
      <w:r>
        <w:rPr>
          <w:b w:val="0"/>
          <w:i w:val="0"/>
        </w:rPr>
        <w:t>The Company’s seed plan allocates proceeds across engineering, operations, marketing, and CAPEX to support a 12-month build and expansion plan.</w:t>
      </w:r>
    </w:p>
    <w:p>
      <w:pPr>
        <w:pStyle w:val="ListBullet"/>
        <w:spacing w:after="40"/>
        <w:ind w:left="283"/>
      </w:pPr>
      <w:r>
        <w:t>Manpower &amp; Engineering: ~64.5% (AUD 3.2m)</w:t>
      </w:r>
    </w:p>
    <w:p>
      <w:pPr>
        <w:pStyle w:val="ListBullet"/>
        <w:spacing w:after="40"/>
        <w:ind w:left="283"/>
      </w:pPr>
      <w:r>
        <w:t>Operations: ~22.4% (AUD 1.1m)</w:t>
      </w:r>
    </w:p>
    <w:p>
      <w:pPr>
        <w:pStyle w:val="ListBullet"/>
        <w:spacing w:after="40"/>
        <w:ind w:left="283"/>
      </w:pPr>
      <w:r>
        <w:t>Marketing &amp; Growth: ~10.5% (AUD 525k)</w:t>
      </w:r>
    </w:p>
    <w:p>
      <w:pPr>
        <w:pStyle w:val="ListBullet"/>
        <w:spacing w:after="40"/>
        <w:ind w:left="283"/>
      </w:pPr>
      <w:r>
        <w:t>CAPEX: ~2.5% (AUD 125k)</w:t>
      </w:r>
    </w:p>
    <w:p>
      <w:pPr>
        <w:spacing w:after="120"/>
      </w:pPr>
      <w:r>
        <w:rPr>
          <w:b w:val="0"/>
          <w:i/>
        </w:rPr>
        <w:t>Refer to Section 14 for a more detailed operating plan and quarterly budget template.</w:t>
      </w:r>
    </w:p>
    <w:p>
      <w:pPr>
        <w:pStyle w:val="Heading1"/>
      </w:pPr>
      <w:r>
        <w:t>4. Company Overview</w:t>
      </w:r>
    </w:p>
    <w:p>
      <w:pPr>
        <w:spacing w:after="120"/>
      </w:pPr>
      <w:r>
        <w:rPr>
          <w:b w:val="0"/>
          <w:i w:val="0"/>
        </w:rPr>
        <w:t>Company Legal Name: DREAMBUZZ APP LIMITED (New Zealand limited company).</w:t>
      </w:r>
    </w:p>
    <w:p>
      <w:pPr>
        <w:spacing w:after="120"/>
      </w:pPr>
      <w:r>
        <w:rPr>
          <w:b w:val="0"/>
          <w:i w:val="0"/>
        </w:rPr>
        <w:t>Company Number: 8665446 | NZBN: 9429051200466.</w:t>
      </w:r>
    </w:p>
    <w:p>
      <w:pPr>
        <w:spacing w:after="120"/>
      </w:pPr>
      <w:r>
        <w:rPr>
          <w:b w:val="0"/>
          <w:i w:val="0"/>
        </w:rPr>
        <w:t>Incorporation: 21 March 2023 (Companies Act 1993).</w:t>
      </w:r>
    </w:p>
    <w:p>
      <w:pPr>
        <w:spacing w:after="120"/>
      </w:pPr>
      <w:r>
        <w:rPr>
          <w:b w:val="0"/>
          <w:i w:val="0"/>
        </w:rPr>
        <w:t>Registered Office / Address for Service: 16 Sunshine Lane, Flat Bush, Auckland, 2019, New Zealand.</w:t>
      </w:r>
    </w:p>
    <w:p>
      <w:pPr>
        <w:spacing w:after="120"/>
      </w:pPr>
      <w:r>
        <w:rPr>
          <w:b w:val="0"/>
          <w:i w:val="0"/>
        </w:rPr>
        <w:t>Director and sole shareholder: Nuzhat Jahan. Total shares outstanding: 100 ordinary shares. Constitution filed: none (per extract).</w:t>
      </w:r>
    </w:p>
    <w:p>
      <w:pPr>
        <w:pStyle w:val="Heading2"/>
      </w:pPr>
      <w:r>
        <w:t>4.1 Vision, Mission and North Star Metrics</w:t>
      </w:r>
    </w:p>
    <w:p>
      <w:pPr>
        <w:spacing w:after="120"/>
      </w:pPr>
      <w:r>
        <w:rPr>
          <w:b w:val="0"/>
          <w:i w:val="0"/>
        </w:rPr>
        <w:t>Vision: To create the world’s leading dream-based mental wellness ecosystem, combining interpretation, self-reflection, and community.</w:t>
      </w:r>
    </w:p>
    <w:p>
      <w:pPr>
        <w:spacing w:after="120"/>
      </w:pPr>
      <w:r>
        <w:rPr>
          <w:b w:val="0"/>
          <w:i w:val="0"/>
        </w:rPr>
        <w:t>Mission: To help individuals unlock the meaning of their dreams and improve mental wellness through accessible, personalized insights and supportive tools.</w:t>
      </w:r>
    </w:p>
    <w:p>
      <w:pPr>
        <w:spacing w:after="120"/>
      </w:pPr>
      <w:r>
        <w:rPr>
          <w:b w:val="0"/>
          <w:i w:val="0"/>
        </w:rPr>
        <w:t>Illustrative North Star Metric: Weekly ‘Meaningful Sessions’ (interpretation delivered + user action taken such as journaling, meditation, or community engagement).</w:t>
      </w:r>
    </w:p>
    <w:p>
      <w:pPr>
        <w:pStyle w:val="Heading2"/>
      </w:pPr>
      <w:r>
        <w:t>4.2 Product Positioning and Brand</w:t>
      </w:r>
    </w:p>
    <w:p>
      <w:pPr>
        <w:spacing w:after="120"/>
      </w:pPr>
      <w:r>
        <w:rPr>
          <w:b w:val="0"/>
          <w:i w:val="0"/>
        </w:rPr>
        <w:t>DreamBuZZ’s brand centers on personal meaning, emotional insight, and self-awareness. The founder’s public presence and published work reinforce credibility and can create organic acquisition through education, storytelling, and community leadership.</w:t>
      </w:r>
    </w:p>
    <w:p>
      <w:pPr>
        <w:pStyle w:val="Heading1"/>
      </w:pPr>
      <w:r>
        <w:t>5. Problem Statement and Customer Need</w:t>
      </w:r>
    </w:p>
    <w:p>
      <w:pPr>
        <w:spacing w:after="120"/>
      </w:pPr>
      <w:r>
        <w:rPr>
          <w:b w:val="0"/>
          <w:i w:val="0"/>
        </w:rPr>
        <w:t>The Company is built on the thesis that dreams provide a window into the subconscious and can reveal stressors and patterns not easily surfaced through traditional wellness tools. However, most existing solutions provide generic dream-dictionary interpretations that users report as inaccurate or unhelpful, leaving a gap for accurate, personalized insight.</w:t>
      </w:r>
    </w:p>
    <w:p>
      <w:pPr>
        <w:pStyle w:val="Heading2"/>
      </w:pPr>
      <w:r>
        <w:t>5.1 Structural Drivers</w:t>
      </w:r>
    </w:p>
    <w:p>
      <w:pPr>
        <w:pStyle w:val="ListBullet"/>
        <w:spacing w:after="40"/>
        <w:ind w:left="283"/>
      </w:pPr>
      <w:r>
        <w:t>Rising stress and anxiety: increased mental load across modern work and lifestyle environments.</w:t>
      </w:r>
    </w:p>
    <w:p>
      <w:pPr>
        <w:pStyle w:val="ListBullet"/>
        <w:spacing w:after="40"/>
        <w:ind w:left="283"/>
      </w:pPr>
      <w:r>
        <w:t>Sleep disruption: persistent sleep disorders driving demand for non-pharmaceutical sleep tools.</w:t>
      </w:r>
    </w:p>
    <w:p>
      <w:pPr>
        <w:pStyle w:val="ListBullet"/>
        <w:spacing w:after="40"/>
        <w:ind w:left="283"/>
      </w:pPr>
      <w:r>
        <w:t>Loneliness and disconnection: users seek meaning and community support beyond transactional app experiences.</w:t>
      </w:r>
    </w:p>
    <w:p>
      <w:pPr>
        <w:pStyle w:val="ListBullet"/>
        <w:spacing w:after="40"/>
        <w:ind w:left="283"/>
      </w:pPr>
      <w:r>
        <w:t>AI adoption: consumers increasingly expect personalization and natural-language interaction in wellness products.</w:t>
      </w:r>
    </w:p>
    <w:p>
      <w:pPr>
        <w:pStyle w:val="Heading2"/>
      </w:pPr>
      <w:r>
        <w:t>5.2 Customer Pain Points (Illustrative)</w:t>
      </w:r>
    </w:p>
    <w:p>
      <w:pPr>
        <w:pStyle w:val="ListBullet"/>
        <w:spacing w:after="40"/>
        <w:ind w:left="283"/>
      </w:pPr>
      <w:r>
        <w:t>Unexplained recurring dreams and anxiety-inducing symbols</w:t>
      </w:r>
    </w:p>
    <w:p>
      <w:pPr>
        <w:pStyle w:val="ListBullet"/>
        <w:spacing w:after="40"/>
        <w:ind w:left="283"/>
      </w:pPr>
      <w:r>
        <w:t>Sleep quality issues and difficulty winding down</w:t>
      </w:r>
    </w:p>
    <w:p>
      <w:pPr>
        <w:pStyle w:val="ListBullet"/>
        <w:spacing w:after="40"/>
        <w:ind w:left="283"/>
      </w:pPr>
      <w:r>
        <w:t>Need for reflection tools and structured meaning-making</w:t>
      </w:r>
    </w:p>
    <w:p>
      <w:pPr>
        <w:pStyle w:val="ListBullet"/>
        <w:spacing w:after="40"/>
        <w:ind w:left="283"/>
      </w:pPr>
      <w:r>
        <w:t>Desire to connect with others experiencing similar themes</w:t>
      </w:r>
    </w:p>
    <w:p>
      <w:pPr>
        <w:pStyle w:val="ListBullet"/>
        <w:spacing w:after="40"/>
        <w:ind w:left="283"/>
      </w:pPr>
      <w:r>
        <w:t>Skepticism toward generic interpretations and pseudoscience</w:t>
      </w:r>
    </w:p>
    <w:p>
      <w:pPr>
        <w:pStyle w:val="Heading2"/>
      </w:pPr>
      <w:r>
        <w:t>5.3 Why Now</w:t>
      </w:r>
    </w:p>
    <w:p>
      <w:pPr>
        <w:pStyle w:val="ListBullet"/>
        <w:spacing w:after="40"/>
        <w:ind w:left="283"/>
      </w:pPr>
      <w:r>
        <w:t>Generative AI can produce high-quality natural-language interpretation at scale.</w:t>
      </w:r>
    </w:p>
    <w:p>
      <w:pPr>
        <w:pStyle w:val="ListBullet"/>
        <w:spacing w:after="40"/>
        <w:ind w:left="283"/>
      </w:pPr>
      <w:r>
        <w:t>Mobile-first wellness adoption continues to expand globally.</w:t>
      </w:r>
    </w:p>
    <w:p>
      <w:pPr>
        <w:pStyle w:val="ListBullet"/>
        <w:spacing w:after="40"/>
        <w:ind w:left="283"/>
      </w:pPr>
      <w:r>
        <w:t>Community-centric products have re-emerged as strong retention drivers.</w:t>
      </w:r>
    </w:p>
    <w:p>
      <w:pPr>
        <w:pStyle w:val="ListBullet"/>
        <w:spacing w:after="40"/>
        <w:ind w:left="283"/>
      </w:pPr>
      <w:r>
        <w:t>Multi-language models and translation infrastructure enable early globalization.</w:t>
      </w:r>
    </w:p>
    <w:p>
      <w:pPr>
        <w:pStyle w:val="Heading1"/>
      </w:pPr>
      <w:r>
        <w:t>6. Product and Solution Overview</w:t>
      </w:r>
    </w:p>
    <w:p>
      <w:pPr>
        <w:spacing w:after="120"/>
      </w:pPr>
      <w:r>
        <w:rPr>
          <w:b w:val="0"/>
          <w:i w:val="0"/>
        </w:rPr>
        <w:t>DreamBuZZ provides an integrated dream wellness platform combining AI interpretation with complementary tools that drive retention and outcomes.</w:t>
      </w:r>
    </w:p>
    <w:p>
      <w:pPr>
        <w:pStyle w:val="Heading2"/>
      </w:pPr>
      <w:r>
        <w:t>6.1 Core Modules (Company stated)</w:t>
      </w:r>
    </w:p>
    <w:p>
      <w:pPr>
        <w:pStyle w:val="ListBullet"/>
        <w:spacing w:after="40"/>
        <w:ind w:left="283"/>
      </w:pPr>
      <w:r>
        <w:t>AI Dream Interpretation</w:t>
      </w:r>
    </w:p>
    <w:p>
      <w:pPr>
        <w:pStyle w:val="ListBullet"/>
        <w:spacing w:after="40"/>
        <w:ind w:left="283"/>
      </w:pPr>
      <w:r>
        <w:t>Sleep Meditation</w:t>
      </w:r>
    </w:p>
    <w:p>
      <w:pPr>
        <w:pStyle w:val="ListBullet"/>
        <w:spacing w:after="40"/>
        <w:ind w:left="283"/>
      </w:pPr>
      <w:r>
        <w:t>Dream Pal Community</w:t>
      </w:r>
    </w:p>
    <w:p>
      <w:pPr>
        <w:pStyle w:val="ListBullet"/>
        <w:spacing w:after="40"/>
        <w:ind w:left="283"/>
      </w:pPr>
      <w:r>
        <w:t>Journals &amp; Podcasts</w:t>
      </w:r>
    </w:p>
    <w:p>
      <w:pPr>
        <w:pStyle w:val="ListBullet"/>
        <w:spacing w:after="40"/>
        <w:ind w:left="283"/>
      </w:pPr>
      <w:r>
        <w:t>Dream Predictions (research roadmap)</w:t>
      </w:r>
    </w:p>
    <w:p>
      <w:pPr>
        <w:pStyle w:val="Heading2"/>
      </w:pPr>
      <w:r>
        <w:t>6.2 User Journey (Company stated)</w:t>
      </w:r>
    </w:p>
    <w:p>
      <w:pPr>
        <w:pStyle w:val="ListNumber"/>
        <w:spacing w:after="40"/>
      </w:pPr>
      <w:r>
        <w:t>Record: user submits dream via web or mobile (EN/AR/FA).</w:t>
      </w:r>
    </w:p>
    <w:p>
      <w:pPr>
        <w:pStyle w:val="ListNumber"/>
        <w:spacing w:after="40"/>
      </w:pPr>
      <w:r>
        <w:t>Analyze: AI analyzes using 13+ years of research data and delivers a report.</w:t>
      </w:r>
    </w:p>
    <w:p>
      <w:pPr>
        <w:pStyle w:val="ListNumber"/>
        <w:spacing w:after="40"/>
      </w:pPr>
      <w:r>
        <w:t>Achieve clarity: user receives actionable insights and can connect with dream pals and supporting content.</w:t>
      </w:r>
    </w:p>
    <w:p>
      <w:pPr>
        <w:pStyle w:val="Heading2"/>
      </w:pPr>
      <w:r>
        <w:t>6.3 Product Design Principles (Investment-Bank Style)</w:t>
      </w:r>
    </w:p>
    <w:p>
      <w:pPr>
        <w:spacing w:after="120"/>
      </w:pPr>
      <w:r>
        <w:rPr>
          <w:b w:val="0"/>
          <w:i w:val="0"/>
        </w:rPr>
        <w:t>A scalable wellness product is typically designed around four principles:</w:t>
      </w:r>
    </w:p>
    <w:p>
      <w:pPr>
        <w:pStyle w:val="ListNumber"/>
        <w:spacing w:after="40"/>
      </w:pPr>
      <w:r>
        <w:t>Time-to-value: deliver meaningful insight quickly after user submission.</w:t>
      </w:r>
    </w:p>
    <w:p>
      <w:pPr>
        <w:pStyle w:val="ListNumber"/>
        <w:spacing w:after="40"/>
      </w:pPr>
      <w:r>
        <w:t>Habit loops: create repeat engagement through prompts, streaks, and content journeys.</w:t>
      </w:r>
    </w:p>
    <w:p>
      <w:pPr>
        <w:pStyle w:val="ListNumber"/>
        <w:spacing w:after="40"/>
      </w:pPr>
      <w:r>
        <w:t>Trust and safety: ensure interpretations are supportive, non-harmful, and appropriately caveated.</w:t>
      </w:r>
    </w:p>
    <w:p>
      <w:pPr>
        <w:pStyle w:val="ListNumber"/>
        <w:spacing w:after="40"/>
      </w:pPr>
      <w:r>
        <w:t>Community value: connect users where it improves outcomes without risking safety or privacy.</w:t>
      </w:r>
    </w:p>
    <w:p>
      <w:pPr>
        <w:pStyle w:val="Heading2"/>
      </w:pPr>
      <w:r>
        <w:t>6.4 Sample Interpretation Report Outline (Template)</w:t>
      </w:r>
    </w:p>
    <w:p>
      <w:pPr>
        <w:spacing w:after="120"/>
      </w:pPr>
      <w:r>
        <w:rPr>
          <w:b w:val="0"/>
          <w:i w:val="0"/>
        </w:rPr>
        <w:t>Below is an illustrative structure for a premium dream interpretation report (for investor diligence and product clarity):</w:t>
      </w:r>
    </w:p>
    <w:p>
      <w:pPr>
        <w:pStyle w:val="ListBullet"/>
        <w:spacing w:after="40"/>
        <w:ind w:left="283"/>
      </w:pPr>
      <w:r>
        <w:t>1) Executive summary (2-3 sentences): the core emotional theme and potential meaning.</w:t>
      </w:r>
    </w:p>
    <w:p>
      <w:pPr>
        <w:pStyle w:val="ListBullet"/>
        <w:spacing w:after="40"/>
        <w:ind w:left="283"/>
      </w:pPr>
      <w:r>
        <w:t>2) Key symbols and motifs: extracted entities, each with context-aware interpretations and confidence indicators.</w:t>
      </w:r>
    </w:p>
    <w:p>
      <w:pPr>
        <w:pStyle w:val="ListBullet"/>
        <w:spacing w:after="40"/>
        <w:ind w:left="283"/>
      </w:pPr>
      <w:r>
        <w:t>3) Emotional mapping: fear/joy/anger/sadness indicators; stress triggers; unresolved patterns.</w:t>
      </w:r>
    </w:p>
    <w:p>
      <w:pPr>
        <w:pStyle w:val="ListBullet"/>
        <w:spacing w:after="40"/>
        <w:ind w:left="283"/>
      </w:pPr>
      <w:r>
        <w:t>4) Personal context prompts: targeted questions to refine meaning (optional user follow-up).</w:t>
      </w:r>
    </w:p>
    <w:p>
      <w:pPr>
        <w:pStyle w:val="ListBullet"/>
        <w:spacing w:after="40"/>
        <w:ind w:left="283"/>
      </w:pPr>
      <w:r>
        <w:t>5) Actionable guidance: journaling prompts, behavioral recommendations, and meditation content suggestions.</w:t>
      </w:r>
    </w:p>
    <w:p>
      <w:pPr>
        <w:pStyle w:val="ListBullet"/>
        <w:spacing w:after="40"/>
        <w:ind w:left="283"/>
      </w:pPr>
      <w:r>
        <w:t>6) Recurrence tracking: comparison to user’s historical dream patterns; trend highlights.</w:t>
      </w:r>
    </w:p>
    <w:p>
      <w:pPr>
        <w:pStyle w:val="ListBullet"/>
        <w:spacing w:after="40"/>
        <w:ind w:left="283"/>
      </w:pPr>
      <w:r>
        <w:t>7) Community matching: recommended Dream Pal matches and related discussions (opt-in).</w:t>
      </w:r>
    </w:p>
    <w:p>
      <w:pPr>
        <w:pStyle w:val="ListBullet"/>
        <w:spacing w:after="40"/>
        <w:ind w:left="283"/>
      </w:pPr>
      <w:r>
        <w:t>8) Safety notes: disclaimers and guidance to seek professional support if user is in crisis.</w:t>
      </w:r>
    </w:p>
    <w:p>
      <w:pPr>
        <w:pStyle w:val="Heading2"/>
      </w:pPr>
      <w:r>
        <w:t>6.5 Dream Predictions (Research Roadmap) - Positioning</w:t>
      </w:r>
    </w:p>
    <w:p>
      <w:pPr>
        <w:spacing w:after="120"/>
      </w:pPr>
      <w:r>
        <w:rPr>
          <w:b w:val="0"/>
          <w:i w:val="0"/>
        </w:rPr>
        <w:t>The Company describes a future capability to aggregate dream patterns across regions to forecast potential events. From an institutional perspective, this feature should be positioned as experimental research and governed by strong ethical and communication standards.</w:t>
      </w:r>
    </w:p>
    <w:p>
      <w:pPr>
        <w:pStyle w:val="ListBullet"/>
        <w:spacing w:after="40"/>
        <w:ind w:left="283"/>
      </w:pPr>
      <w:r>
        <w:t>Use only anonymized, aggregated signals; avoid individual-level prediction claims.</w:t>
      </w:r>
    </w:p>
    <w:p>
      <w:pPr>
        <w:pStyle w:val="ListBullet"/>
        <w:spacing w:after="40"/>
        <w:ind w:left="283"/>
      </w:pPr>
      <w:r>
        <w:t>Publish transparent methodology and limitations; avoid determinism.</w:t>
      </w:r>
    </w:p>
    <w:p>
      <w:pPr>
        <w:pStyle w:val="ListBullet"/>
        <w:spacing w:after="40"/>
        <w:ind w:left="283"/>
      </w:pPr>
      <w:r>
        <w:t>Engage external advisors (ethics + data science) before public launch.</w:t>
      </w:r>
    </w:p>
    <w:p>
      <w:pPr>
        <w:pStyle w:val="ListBullet"/>
        <w:spacing w:after="40"/>
        <w:ind w:left="283"/>
      </w:pPr>
      <w:r>
        <w:t>Pilot internally or with partners where oversight is available.</w:t>
      </w:r>
    </w:p>
    <w:p>
      <w:pPr>
        <w:pStyle w:val="Heading1"/>
      </w:pPr>
      <w:r>
        <w:t>7. Technology, Data, and Intellectual Property</w:t>
      </w:r>
    </w:p>
    <w:p>
      <w:pPr>
        <w:spacing w:after="120"/>
      </w:pPr>
      <w:r>
        <w:rPr>
          <w:b w:val="0"/>
          <w:i w:val="0"/>
        </w:rPr>
        <w:t>DreamBuZZ’s technology moat is intended to combine AI interpretation with proprietary research data, product instrumentation, and a community matching graph.</w:t>
      </w:r>
    </w:p>
    <w:p>
      <w:pPr>
        <w:pStyle w:val="Heading2"/>
      </w:pPr>
      <w:r>
        <w:t>7.1 Data Assets (Company stated)</w:t>
      </w:r>
    </w:p>
    <w:p>
      <w:pPr>
        <w:pStyle w:val="ListBullet"/>
        <w:spacing w:after="40"/>
        <w:ind w:left="283"/>
      </w:pPr>
      <w:r>
        <w:t>Founder-led research: 13+ years of dream research; robust case study base spanning 10+ years.</w:t>
      </w:r>
    </w:p>
    <w:p>
      <w:pPr>
        <w:pStyle w:val="ListBullet"/>
        <w:spacing w:after="40"/>
        <w:ind w:left="283"/>
      </w:pPr>
      <w:r>
        <w:t>Published books and interpretive frameworks contributing to the Company’s proprietary content library.</w:t>
      </w:r>
    </w:p>
    <w:p>
      <w:pPr>
        <w:pStyle w:val="ListBullet"/>
        <w:spacing w:after="40"/>
        <w:ind w:left="283"/>
      </w:pPr>
      <w:r>
        <w:t>Multi-language approach: English, Arabic, and Farsi support from the outset.</w:t>
      </w:r>
    </w:p>
    <w:p>
      <w:pPr>
        <w:pStyle w:val="Heading2"/>
      </w:pPr>
      <w:r>
        <w:t>7.2 Architecture (Illustrative)</w:t>
      </w:r>
    </w:p>
    <w:p>
      <w:pPr>
        <w:pStyle w:val="ListBullet"/>
        <w:spacing w:after="40"/>
        <w:ind w:left="283"/>
      </w:pPr>
      <w:r>
        <w:t>User ingestion: structured form + free-text narrative; optional context inputs (stress level, life events, sleep habits).</w:t>
      </w:r>
    </w:p>
    <w:p>
      <w:pPr>
        <w:pStyle w:val="ListBullet"/>
        <w:spacing w:after="40"/>
        <w:ind w:left="283"/>
      </w:pPr>
      <w:r>
        <w:t>NLP extraction: entities (symbols, places, people), emotions, themes, narrative arcs, and intensity scoring.</w:t>
      </w:r>
    </w:p>
    <w:p>
      <w:pPr>
        <w:pStyle w:val="ListBullet"/>
        <w:spacing w:after="40"/>
        <w:ind w:left="283"/>
      </w:pPr>
      <w:r>
        <w:t>Interpretation generation: controlled generation pipeline with guardrails; style and tone personalization.</w:t>
      </w:r>
    </w:p>
    <w:p>
      <w:pPr>
        <w:pStyle w:val="ListBullet"/>
        <w:spacing w:after="40"/>
        <w:ind w:left="283"/>
      </w:pPr>
      <w:r>
        <w:t>Matching engine: similarity search across dream embeddings + rule-based constraints (age group, language, safety).</w:t>
      </w:r>
    </w:p>
    <w:p>
      <w:pPr>
        <w:pStyle w:val="ListBullet"/>
        <w:spacing w:after="40"/>
        <w:ind w:left="283"/>
      </w:pPr>
      <w:r>
        <w:t>Content recommendation: meditation modules and journaling prompts based on theme classification.</w:t>
      </w:r>
    </w:p>
    <w:p>
      <w:pPr>
        <w:pStyle w:val="ListBullet"/>
        <w:spacing w:after="40"/>
        <w:ind w:left="283"/>
      </w:pPr>
      <w:r>
        <w:t>MLOps: model versioning, evaluation harness, drift monitoring, and rollback capability.</w:t>
      </w:r>
    </w:p>
    <w:p>
      <w:pPr>
        <w:pStyle w:val="ListBullet"/>
        <w:spacing w:after="40"/>
        <w:ind w:left="283"/>
      </w:pPr>
      <w:r>
        <w:t>Analytics: event taxonomy enabling retention cohorting and conversion funnel analysis.</w:t>
      </w:r>
    </w:p>
    <w:p>
      <w:pPr>
        <w:pStyle w:val="Heading2"/>
      </w:pPr>
      <w:r>
        <w:t>7.3 Model Evaluation and Quality Assurance (Institutional)</w:t>
      </w:r>
    </w:p>
    <w:p>
      <w:pPr>
        <w:spacing w:after="120"/>
      </w:pPr>
      <w:r>
        <w:rPr>
          <w:b w:val="0"/>
          <w:i w:val="0"/>
        </w:rPr>
        <w:t>To ensure interpretation quality, an institutional evaluation harness typically includes:</w:t>
      </w:r>
    </w:p>
    <w:p>
      <w:pPr>
        <w:pStyle w:val="ListBullet"/>
        <w:spacing w:after="40"/>
        <w:ind w:left="283"/>
      </w:pPr>
      <w:r>
        <w:t>User satisfaction: CSAT/NPS on reports; helpfulness and clarity ratings.</w:t>
      </w:r>
    </w:p>
    <w:p>
      <w:pPr>
        <w:pStyle w:val="ListBullet"/>
        <w:spacing w:after="40"/>
        <w:ind w:left="283"/>
      </w:pPr>
      <w:r>
        <w:t>Consistency: repeated input tests; deterministic constraints where needed.</w:t>
      </w:r>
    </w:p>
    <w:p>
      <w:pPr>
        <w:pStyle w:val="ListBullet"/>
        <w:spacing w:after="40"/>
        <w:ind w:left="283"/>
      </w:pPr>
      <w:r>
        <w:t>Safety: red-team prompts for self-harm, abuse, paranoia, and harmful advice; automated detection and escalation.</w:t>
      </w:r>
    </w:p>
    <w:p>
      <w:pPr>
        <w:pStyle w:val="ListBullet"/>
        <w:spacing w:after="40"/>
        <w:ind w:left="283"/>
      </w:pPr>
      <w:r>
        <w:t>Cultural/linguistic correctness: human review panels for EN/AR/FA content.</w:t>
      </w:r>
    </w:p>
    <w:p>
      <w:pPr>
        <w:pStyle w:val="ListBullet"/>
        <w:spacing w:after="40"/>
        <w:ind w:left="283"/>
      </w:pPr>
      <w:r>
        <w:t>Latency and throughput: time-to-report; cost per interpretation; inference scaling.</w:t>
      </w:r>
    </w:p>
    <w:p>
      <w:pPr>
        <w:pStyle w:val="ListBullet"/>
        <w:spacing w:after="40"/>
        <w:ind w:left="283"/>
      </w:pPr>
      <w:r>
        <w:t>Drift monitoring: performance change as data distribution shifts across geographies.</w:t>
      </w:r>
    </w:p>
    <w:p>
      <w:pPr>
        <w:pStyle w:val="Heading2"/>
      </w:pPr>
      <w:r>
        <w:t>7.4 Privacy, Security and Compliance-By-Design</w:t>
      </w:r>
    </w:p>
    <w:p>
      <w:pPr>
        <w:spacing w:after="120"/>
      </w:pPr>
      <w:r>
        <w:rPr>
          <w:b w:val="0"/>
          <w:i w:val="0"/>
        </w:rPr>
        <w:t>Dream content can be highly sensitive. A robust privacy posture should include:</w:t>
      </w:r>
    </w:p>
    <w:p>
      <w:pPr>
        <w:pStyle w:val="ListBullet"/>
        <w:spacing w:after="40"/>
        <w:ind w:left="283"/>
      </w:pPr>
      <w:r>
        <w:t>Consent and control: explicit consent for storing dreams, community sharing, and using data for model improvement.</w:t>
      </w:r>
    </w:p>
    <w:p>
      <w:pPr>
        <w:pStyle w:val="ListBullet"/>
        <w:spacing w:after="40"/>
        <w:ind w:left="283"/>
      </w:pPr>
      <w:r>
        <w:t>Minimization: collect only what is necessary; allow anonymous mode where possible.</w:t>
      </w:r>
    </w:p>
    <w:p>
      <w:pPr>
        <w:pStyle w:val="ListBullet"/>
        <w:spacing w:after="40"/>
        <w:ind w:left="283"/>
      </w:pPr>
      <w:r>
        <w:t>Encryption: in transit and at rest; key management processes.</w:t>
      </w:r>
    </w:p>
    <w:p>
      <w:pPr>
        <w:pStyle w:val="ListBullet"/>
        <w:spacing w:after="40"/>
        <w:ind w:left="283"/>
      </w:pPr>
      <w:r>
        <w:t>Access controls: least privilege; audit logs; incident response plan.</w:t>
      </w:r>
    </w:p>
    <w:p>
      <w:pPr>
        <w:pStyle w:val="ListBullet"/>
        <w:spacing w:after="40"/>
        <w:ind w:left="283"/>
      </w:pPr>
      <w:r>
        <w:t>Data retention: clear policies; deletion tooling; GDPR-style user rights workflows for relevant markets.</w:t>
      </w:r>
    </w:p>
    <w:p>
      <w:pPr>
        <w:pStyle w:val="ListBullet"/>
        <w:spacing w:after="40"/>
        <w:ind w:left="283"/>
      </w:pPr>
      <w:r>
        <w:t>Vendor management: contracts and DPAs for cloud and analytics providers.</w:t>
      </w:r>
    </w:p>
    <w:p>
      <w:pPr>
        <w:pStyle w:val="Heading2"/>
      </w:pPr>
      <w:r>
        <w:t>7.5 Intellectual Property Strategy (Illustrative)</w:t>
      </w:r>
    </w:p>
    <w:p>
      <w:pPr>
        <w:pStyle w:val="ListBullet"/>
        <w:spacing w:after="40"/>
        <w:ind w:left="283"/>
      </w:pPr>
      <w:r>
        <w:t>IP assignments: ensure all founders and contractors assign work product to the Company.</w:t>
      </w:r>
    </w:p>
    <w:p>
      <w:pPr>
        <w:pStyle w:val="ListBullet"/>
        <w:spacing w:after="40"/>
        <w:ind w:left="283"/>
      </w:pPr>
      <w:r>
        <w:t>Trademark protection: brand name and key marks in priority geographies.</w:t>
      </w:r>
    </w:p>
    <w:p>
      <w:pPr>
        <w:pStyle w:val="ListBullet"/>
        <w:spacing w:after="40"/>
        <w:ind w:left="283"/>
      </w:pPr>
      <w:r>
        <w:t>Content rights: clear licensing for podcasts, courses, and any third-party content.</w:t>
      </w:r>
    </w:p>
    <w:p>
      <w:pPr>
        <w:pStyle w:val="ListBullet"/>
        <w:spacing w:after="40"/>
        <w:ind w:left="283"/>
      </w:pPr>
      <w:r>
        <w:t>Trade secrets: dataset labeling schema, matching heuristics, and evaluation harness kept confidential.</w:t>
      </w:r>
    </w:p>
    <w:p>
      <w:pPr>
        <w:pStyle w:val="Heading1"/>
      </w:pPr>
      <w:r>
        <w:t>8. Business Model and Monetization</w:t>
      </w:r>
    </w:p>
    <w:p>
      <w:pPr>
        <w:spacing w:after="120"/>
      </w:pPr>
      <w:r>
        <w:rPr>
          <w:b w:val="0"/>
          <w:i w:val="0"/>
        </w:rPr>
        <w:t>DreamBuZZ is pursuing a subscription-led model complemented by transactional and B2B revenue streams.</w:t>
      </w:r>
    </w:p>
    <w:p>
      <w:pPr>
        <w:pStyle w:val="Heading2"/>
      </w:pPr>
      <w:r>
        <w:t>8.1 Revenue Streams (Company stated)</w:t>
      </w:r>
    </w:p>
    <w:tbl>
      <w:tblPr>
        <w:tblStyle w:val="TableGrid"/>
        <w:tblW w:type="auto" w:w="0"/>
        <w:jc w:val="center"/>
        <w:tblLook w:firstColumn="1" w:firstRow="1" w:lastColumn="0" w:lastRow="0" w:noHBand="0" w:noVBand="1" w:val="04A0"/>
      </w:tblPr>
      <w:tblGrid>
        <w:gridCol w:w="3324"/>
        <w:gridCol w:w="3324"/>
        <w:gridCol w:w="3324"/>
      </w:tblGrid>
      <w:tr>
        <w:tc>
          <w:tcPr>
            <w:tcW w:type="dxa" w:w="2835"/>
          </w:tcPr>
          <w:p>
            <w:r>
              <w:rPr>
                <w:rFonts w:ascii="Calibri" w:hAnsi="Calibri"/>
                <w:sz w:val="20"/>
              </w:rPr>
              <w:t>Revenue stream</w:t>
            </w:r>
          </w:p>
        </w:tc>
        <w:tc>
          <w:tcPr>
            <w:tcW w:type="dxa" w:w="1984"/>
          </w:tcPr>
          <w:p>
            <w:r>
              <w:rPr>
                <w:rFonts w:ascii="Calibri" w:hAnsi="Calibri"/>
                <w:sz w:val="20"/>
              </w:rPr>
              <w:t>Indicative price</w:t>
            </w:r>
          </w:p>
        </w:tc>
        <w:tc>
          <w:tcPr>
            <w:tcW w:type="dxa" w:w="3685"/>
          </w:tcPr>
          <w:p>
            <w:r>
              <w:rPr>
                <w:rFonts w:ascii="Calibri" w:hAnsi="Calibri"/>
                <w:sz w:val="20"/>
              </w:rPr>
              <w:t>Mechanics</w:t>
            </w:r>
          </w:p>
        </w:tc>
      </w:tr>
      <w:tr>
        <w:tc>
          <w:tcPr>
            <w:tcW w:type="dxa" w:w="2835"/>
          </w:tcPr>
          <w:p>
            <w:r>
              <w:rPr>
                <w:rFonts w:ascii="Calibri" w:hAnsi="Calibri"/>
                <w:sz w:val="20"/>
              </w:rPr>
              <w:t>Premium subscription</w:t>
            </w:r>
          </w:p>
        </w:tc>
        <w:tc>
          <w:tcPr>
            <w:tcW w:type="dxa" w:w="1984"/>
          </w:tcPr>
          <w:p>
            <w:r>
              <w:rPr>
                <w:rFonts w:ascii="Calibri" w:hAnsi="Calibri"/>
                <w:sz w:val="20"/>
              </w:rPr>
              <w:t>USD 19 / month</w:t>
            </w:r>
          </w:p>
        </w:tc>
        <w:tc>
          <w:tcPr>
            <w:tcW w:type="dxa" w:w="3685"/>
          </w:tcPr>
          <w:p>
            <w:r>
              <w:rPr>
                <w:rFonts w:ascii="Calibri" w:hAnsi="Calibri"/>
                <w:sz w:val="20"/>
              </w:rPr>
              <w:t>Full platform access; unlimited interpretations</w:t>
            </w:r>
          </w:p>
        </w:tc>
      </w:tr>
      <w:tr>
        <w:tc>
          <w:tcPr>
            <w:tcW w:type="dxa" w:w="2835"/>
          </w:tcPr>
          <w:p>
            <w:r>
              <w:rPr>
                <w:rFonts w:ascii="Calibri" w:hAnsi="Calibri"/>
                <w:sz w:val="20"/>
              </w:rPr>
              <w:t>Dream interpretation (one-off)</w:t>
            </w:r>
          </w:p>
        </w:tc>
        <w:tc>
          <w:tcPr>
            <w:tcW w:type="dxa" w:w="1984"/>
          </w:tcPr>
          <w:p>
            <w:r>
              <w:rPr>
                <w:rFonts w:ascii="Calibri" w:hAnsi="Calibri"/>
                <w:sz w:val="20"/>
              </w:rPr>
              <w:t>USD 11</w:t>
            </w:r>
          </w:p>
        </w:tc>
        <w:tc>
          <w:tcPr>
            <w:tcW w:type="dxa" w:w="3685"/>
          </w:tcPr>
          <w:p>
            <w:r>
              <w:rPr>
                <w:rFonts w:ascii="Calibri" w:hAnsi="Calibri"/>
                <w:sz w:val="20"/>
              </w:rPr>
              <w:t>Detailed analysis with report</w:t>
            </w:r>
          </w:p>
        </w:tc>
      </w:tr>
      <w:tr>
        <w:tc>
          <w:tcPr>
            <w:tcW w:type="dxa" w:w="2835"/>
          </w:tcPr>
          <w:p>
            <w:r>
              <w:rPr>
                <w:rFonts w:ascii="Calibri" w:hAnsi="Calibri"/>
                <w:sz w:val="20"/>
              </w:rPr>
              <w:t>Downloadable courses</w:t>
            </w:r>
          </w:p>
        </w:tc>
        <w:tc>
          <w:tcPr>
            <w:tcW w:type="dxa" w:w="1984"/>
          </w:tcPr>
          <w:p>
            <w:r>
              <w:rPr>
                <w:rFonts w:ascii="Calibri" w:hAnsi="Calibri"/>
                <w:sz w:val="20"/>
              </w:rPr>
              <w:t>USD 7</w:t>
            </w:r>
          </w:p>
        </w:tc>
        <w:tc>
          <w:tcPr>
            <w:tcW w:type="dxa" w:w="3685"/>
          </w:tcPr>
          <w:p>
            <w:r>
              <w:rPr>
                <w:rFonts w:ascii="Calibri" w:hAnsi="Calibri"/>
                <w:sz w:val="20"/>
              </w:rPr>
              <w:t>Sleep meditation and dream mastery modules</w:t>
            </w:r>
          </w:p>
        </w:tc>
      </w:tr>
      <w:tr>
        <w:tc>
          <w:tcPr>
            <w:tcW w:type="dxa" w:w="2835"/>
          </w:tcPr>
          <w:p>
            <w:r>
              <w:rPr>
                <w:rFonts w:ascii="Calibri" w:hAnsi="Calibri"/>
                <w:sz w:val="20"/>
              </w:rPr>
              <w:t>Dream eBooks</w:t>
            </w:r>
          </w:p>
        </w:tc>
        <w:tc>
          <w:tcPr>
            <w:tcW w:type="dxa" w:w="1984"/>
          </w:tcPr>
          <w:p>
            <w:r>
              <w:rPr>
                <w:rFonts w:ascii="Calibri" w:hAnsi="Calibri"/>
                <w:sz w:val="20"/>
              </w:rPr>
              <w:t>USD 5</w:t>
            </w:r>
          </w:p>
        </w:tc>
        <w:tc>
          <w:tcPr>
            <w:tcW w:type="dxa" w:w="3685"/>
          </w:tcPr>
          <w:p>
            <w:r>
              <w:rPr>
                <w:rFonts w:ascii="Calibri" w:hAnsi="Calibri"/>
                <w:sz w:val="20"/>
              </w:rPr>
              <w:t>Founder/expert authored content</w:t>
            </w:r>
          </w:p>
        </w:tc>
      </w:tr>
      <w:tr>
        <w:tc>
          <w:tcPr>
            <w:tcW w:type="dxa" w:w="2835"/>
          </w:tcPr>
          <w:p>
            <w:r>
              <w:rPr>
                <w:rFonts w:ascii="Calibri" w:hAnsi="Calibri"/>
                <w:sz w:val="20"/>
              </w:rPr>
              <w:t>B2B corporate wellness</w:t>
            </w:r>
          </w:p>
        </w:tc>
        <w:tc>
          <w:tcPr>
            <w:tcW w:type="dxa" w:w="1984"/>
          </w:tcPr>
          <w:p>
            <w:r>
              <w:rPr>
                <w:rFonts w:ascii="Calibri" w:hAnsi="Calibri"/>
                <w:sz w:val="20"/>
              </w:rPr>
              <w:t>Custom</w:t>
            </w:r>
          </w:p>
        </w:tc>
        <w:tc>
          <w:tcPr>
            <w:tcW w:type="dxa" w:w="3685"/>
          </w:tcPr>
          <w:p>
            <w:r>
              <w:rPr>
                <w:rFonts w:ascii="Calibri" w:hAnsi="Calibri"/>
                <w:sz w:val="20"/>
              </w:rPr>
              <w:t>Enterprise licensing, retreats, white-label solutions</w:t>
            </w:r>
          </w:p>
        </w:tc>
      </w:tr>
    </w:tbl>
    <w:p/>
    <w:p>
      <w:pPr>
        <w:pStyle w:val="Heading2"/>
      </w:pPr>
      <w:r>
        <w:t>8.2 Unit Economics (Company stated) and Analytical Deep-Dive</w:t>
      </w:r>
    </w:p>
    <w:p>
      <w:pPr>
        <w:pStyle w:val="ListBullet"/>
        <w:spacing w:after="40"/>
        <w:ind w:left="283"/>
      </w:pPr>
      <w:r>
        <w:t>Retention: ~80% (reported).</w:t>
      </w:r>
    </w:p>
    <w:p>
      <w:pPr>
        <w:pStyle w:val="ListBullet"/>
        <w:spacing w:after="40"/>
        <w:ind w:left="283"/>
      </w:pPr>
      <w:r>
        <w:t>LTV/CAC: ~3x (stated).</w:t>
      </w:r>
    </w:p>
    <w:p>
      <w:pPr>
        <w:pStyle w:val="ListBullet"/>
        <w:spacing w:after="40"/>
        <w:ind w:left="283"/>
      </w:pPr>
      <w:r>
        <w:t>Gross margin: ~70% (stated).</w:t>
      </w:r>
    </w:p>
    <w:p>
      <w:pPr>
        <w:spacing w:after="120"/>
      </w:pPr>
      <w:r>
        <w:rPr>
          <w:b w:val="0"/>
          <w:i w:val="0"/>
        </w:rPr>
        <w:t>For institutional diligence, these metrics should be supported by cohort tables, churn segmentation, and channel-level CAC reporting.</w:t>
      </w:r>
    </w:p>
    <w:p>
      <w:pPr>
        <w:pStyle w:val="Heading2"/>
      </w:pPr>
      <w:r>
        <w:t>8.3 Monetization Design (Illustrative)</w:t>
      </w:r>
    </w:p>
    <w:p>
      <w:pPr>
        <w:pStyle w:val="ListBullet"/>
        <w:spacing w:after="40"/>
        <w:ind w:left="283"/>
      </w:pPr>
      <w:r>
        <w:t>Freemium to paid: limited free interpretations and content; paid unlock for deeper reports, history, and unlimited usage.</w:t>
      </w:r>
    </w:p>
    <w:p>
      <w:pPr>
        <w:pStyle w:val="ListBullet"/>
        <w:spacing w:after="40"/>
        <w:ind w:left="283"/>
      </w:pPr>
      <w:r>
        <w:t>Bundles: subscription + premium meditation packs; annual plans with discount.</w:t>
      </w:r>
    </w:p>
    <w:p>
      <w:pPr>
        <w:pStyle w:val="ListBullet"/>
        <w:spacing w:after="40"/>
        <w:ind w:left="283"/>
      </w:pPr>
      <w:r>
        <w:t>Upsell hooks: recurring dream alerts, deeper thematic courses, expert sessions (where appropriate).</w:t>
      </w:r>
    </w:p>
    <w:p>
      <w:pPr>
        <w:pStyle w:val="ListBullet"/>
        <w:spacing w:after="40"/>
        <w:ind w:left="283"/>
      </w:pPr>
      <w:r>
        <w:t>B2B packaging: per-employee-per-month pricing tiers; optional workshops and reporting add-ons.</w:t>
      </w:r>
    </w:p>
    <w:p>
      <w:pPr>
        <w:pStyle w:val="Heading2"/>
      </w:pPr>
      <w:r>
        <w:t>8.4 B2B Corporate Wellness Strategy (Deep Dive)</w:t>
      </w:r>
    </w:p>
    <w:p>
      <w:pPr>
        <w:spacing w:after="120"/>
      </w:pPr>
      <w:r>
        <w:rPr>
          <w:b w:val="0"/>
          <w:i w:val="0"/>
        </w:rPr>
        <w:t>B2B can provide higher contract value and lower churn versus consumer, if privacy and measurement are handled correctly.</w:t>
      </w:r>
    </w:p>
    <w:p>
      <w:pPr>
        <w:pStyle w:val="ListBullet"/>
        <w:spacing w:after="40"/>
        <w:ind w:left="283"/>
      </w:pPr>
      <w:r>
        <w:t>Pilot structure: 6-12 week pilot with defined success metrics (engagement, stress self-report, sleep quality improvement).</w:t>
      </w:r>
    </w:p>
    <w:p>
      <w:pPr>
        <w:pStyle w:val="ListBullet"/>
        <w:spacing w:after="40"/>
        <w:ind w:left="283"/>
      </w:pPr>
      <w:r>
        <w:t>Buyer personas: HR, People &amp; Culture, Wellness leads, Benefits managers, EAP partners.</w:t>
      </w:r>
    </w:p>
    <w:p>
      <w:pPr>
        <w:pStyle w:val="ListBullet"/>
        <w:spacing w:after="40"/>
        <w:ind w:left="283"/>
      </w:pPr>
      <w:r>
        <w:t>Packaging: employee access + educational modules + optional anonymized trend reporting.</w:t>
      </w:r>
    </w:p>
    <w:p>
      <w:pPr>
        <w:pStyle w:val="ListBullet"/>
        <w:spacing w:after="40"/>
        <w:ind w:left="283"/>
      </w:pPr>
      <w:r>
        <w:t>Compliance: strict separation of personal data from employer reporting; only aggregated/anonymized insights.</w:t>
      </w:r>
    </w:p>
    <w:p>
      <w:pPr>
        <w:pStyle w:val="ListBullet"/>
        <w:spacing w:after="40"/>
        <w:ind w:left="283"/>
      </w:pPr>
      <w:r>
        <w:t>Distribution: corporate retreat partnerships; wellness provider bundles; channel resellers.</w:t>
      </w:r>
    </w:p>
    <w:p>
      <w:pPr>
        <w:pStyle w:val="Heading1"/>
      </w:pPr>
      <w:r>
        <w:t>9. Go-to-Market Strategy</w:t>
      </w:r>
    </w:p>
    <w:p>
      <w:pPr>
        <w:spacing w:after="120"/>
      </w:pPr>
      <w:r>
        <w:rPr>
          <w:b w:val="0"/>
          <w:i w:val="0"/>
        </w:rPr>
        <w:t>The go-to-market approach blends founder-led organic growth, content-driven acquisition, paid growth once economics are proven, and partner distribution.</w:t>
      </w:r>
    </w:p>
    <w:p>
      <w:pPr>
        <w:pStyle w:val="Heading2"/>
      </w:pPr>
      <w:r>
        <w:t>9.1 Target Personas (Illustrative)</w:t>
      </w:r>
    </w:p>
    <w:p>
      <w:pPr>
        <w:pStyle w:val="ListBullet"/>
        <w:spacing w:after="40"/>
        <w:ind w:left="283"/>
      </w:pPr>
      <w:r>
        <w:t>Self-aware professionals (25-44): high stress, interest in personal development and clarity.</w:t>
      </w:r>
    </w:p>
    <w:p>
      <w:pPr>
        <w:pStyle w:val="ListBullet"/>
        <w:spacing w:after="40"/>
        <w:ind w:left="283"/>
      </w:pPr>
      <w:r>
        <w:t>Wellness seekers: meditation, mindfulness, journaling habits; seeks meaning and daily rituals.</w:t>
      </w:r>
    </w:p>
    <w:p>
      <w:pPr>
        <w:pStyle w:val="ListBullet"/>
        <w:spacing w:after="40"/>
        <w:ind w:left="283"/>
      </w:pPr>
      <w:r>
        <w:t>Sleep improvers: trying to reduce reliance on sleeping pills and improve restorative sleep routines.</w:t>
      </w:r>
    </w:p>
    <w:p>
      <w:pPr>
        <w:pStyle w:val="ListBullet"/>
        <w:spacing w:after="40"/>
        <w:ind w:left="283"/>
      </w:pPr>
      <w:r>
        <w:t>Community-oriented dreamers: values validation and connection around shared themes.</w:t>
      </w:r>
    </w:p>
    <w:p>
      <w:pPr>
        <w:pStyle w:val="Heading2"/>
      </w:pPr>
      <w:r>
        <w:t>9.2 Channel Strategy (Illustrative)</w:t>
      </w:r>
    </w:p>
    <w:p>
      <w:pPr>
        <w:pStyle w:val="ListBullet"/>
        <w:spacing w:after="40"/>
        <w:ind w:left="283"/>
      </w:pPr>
      <w:r>
        <w:t>Organic social: founder storytelling; short-form dream symbol content; Q&amp;A; testimonials (with consent).</w:t>
      </w:r>
    </w:p>
    <w:p>
      <w:pPr>
        <w:pStyle w:val="ListBullet"/>
        <w:spacing w:after="40"/>
        <w:ind w:left="283"/>
      </w:pPr>
      <w:r>
        <w:t>SEO: high-intent pages around dream themes; internally linked to personalization funnel.</w:t>
      </w:r>
    </w:p>
    <w:p>
      <w:pPr>
        <w:pStyle w:val="ListBullet"/>
        <w:spacing w:after="40"/>
        <w:ind w:left="283"/>
      </w:pPr>
      <w:r>
        <w:t>Influencers and affiliates: wellness creators and sleep coaches; revenue share and trackable links.</w:t>
      </w:r>
    </w:p>
    <w:p>
      <w:pPr>
        <w:pStyle w:val="ListBullet"/>
        <w:spacing w:after="40"/>
        <w:ind w:left="283"/>
      </w:pPr>
      <w:r>
        <w:t>App store growth: ASO; review management; localization for EN/AR/FA markets.</w:t>
      </w:r>
    </w:p>
    <w:p>
      <w:pPr>
        <w:pStyle w:val="ListBullet"/>
        <w:spacing w:after="40"/>
        <w:ind w:left="283"/>
      </w:pPr>
      <w:r>
        <w:t>Paid acquisition: only after activation and retention metrics support scaling; focus on CAC payback.</w:t>
      </w:r>
    </w:p>
    <w:p>
      <w:pPr>
        <w:pStyle w:val="ListBullet"/>
        <w:spacing w:after="40"/>
        <w:ind w:left="283"/>
      </w:pPr>
      <w:r>
        <w:t>Partnerships: wellness communities, podcasts, and corporate wellness pilots.</w:t>
      </w:r>
    </w:p>
    <w:p>
      <w:pPr>
        <w:pStyle w:val="Heading2"/>
      </w:pPr>
      <w:r>
        <w:t>9.3 Messaging and Positioning (Illustrative)</w:t>
      </w:r>
    </w:p>
    <w:p>
      <w:pPr>
        <w:spacing w:after="120"/>
      </w:pPr>
      <w:r>
        <w:rPr>
          <w:b w:val="0"/>
          <w:i w:val="0"/>
        </w:rPr>
        <w:t>Messaging should emphasize science-informed reflection and personal clarity, avoiding deterministic or clinical claims.</w:t>
      </w:r>
    </w:p>
    <w:p>
      <w:pPr>
        <w:pStyle w:val="ListBullet"/>
        <w:spacing w:after="40"/>
        <w:ind w:left="283"/>
      </w:pPr>
      <w:r>
        <w:t>Promise: 'Find clarity and peace by understanding your dreams.'</w:t>
      </w:r>
    </w:p>
    <w:p>
      <w:pPr>
        <w:pStyle w:val="ListBullet"/>
        <w:spacing w:after="40"/>
        <w:ind w:left="283"/>
      </w:pPr>
      <w:r>
        <w:t>Proof: founder research, published content, and user testimonials.</w:t>
      </w:r>
    </w:p>
    <w:p>
      <w:pPr>
        <w:pStyle w:val="ListBullet"/>
        <w:spacing w:after="40"/>
        <w:ind w:left="283"/>
      </w:pPr>
      <w:r>
        <w:t>Differentiation: personalized analysis + community, not generic dream dictionaries.</w:t>
      </w:r>
    </w:p>
    <w:p>
      <w:pPr>
        <w:pStyle w:val="ListBullet"/>
        <w:spacing w:after="40"/>
        <w:ind w:left="283"/>
      </w:pPr>
      <w:r>
        <w:t>Safety: supportive tone, disclaimers, and referral to professional support when needed.</w:t>
      </w:r>
    </w:p>
    <w:p>
      <w:pPr>
        <w:pStyle w:val="Heading2"/>
      </w:pPr>
      <w:r>
        <w:t>9.4 Country Playbooks (Illustrative)</w:t>
      </w:r>
    </w:p>
    <w:p>
      <w:pPr>
        <w:spacing w:after="120"/>
      </w:pPr>
      <w:r>
        <w:rPr>
          <w:b w:val="0"/>
          <w:i w:val="0"/>
        </w:rPr>
        <w:t>A country playbook standardizes launch execution while allowing cultural localization.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268"/>
          </w:tcPr>
          <w:p>
            <w:r>
              <w:rPr>
                <w:rFonts w:ascii="Calibri" w:hAnsi="Calibri"/>
                <w:sz w:val="20"/>
              </w:rPr>
              <w:t>Playbook component</w:t>
            </w:r>
          </w:p>
        </w:tc>
        <w:tc>
          <w:tcPr>
            <w:tcW w:type="dxa" w:w="2381"/>
          </w:tcPr>
          <w:p>
            <w:r>
              <w:rPr>
                <w:rFonts w:ascii="Calibri" w:hAnsi="Calibri"/>
                <w:sz w:val="20"/>
              </w:rPr>
              <w:t>India</w:t>
            </w:r>
          </w:p>
        </w:tc>
        <w:tc>
          <w:tcPr>
            <w:tcW w:type="dxa" w:w="2381"/>
          </w:tcPr>
          <w:p>
            <w:r>
              <w:rPr>
                <w:rFonts w:ascii="Calibri" w:hAnsi="Calibri"/>
                <w:sz w:val="20"/>
              </w:rPr>
              <w:t>UAE</w:t>
            </w:r>
          </w:p>
        </w:tc>
        <w:tc>
          <w:tcPr>
            <w:tcW w:type="dxa" w:w="2381"/>
          </w:tcPr>
          <w:p>
            <w:r>
              <w:rPr>
                <w:rFonts w:ascii="Calibri" w:hAnsi="Calibri"/>
                <w:sz w:val="20"/>
              </w:rPr>
              <w:t>UK</w:t>
            </w:r>
          </w:p>
        </w:tc>
      </w:tr>
      <w:tr>
        <w:tc>
          <w:tcPr>
            <w:tcW w:type="dxa" w:w="2268"/>
          </w:tcPr>
          <w:p>
            <w:r>
              <w:rPr>
                <w:rFonts w:ascii="Calibri" w:hAnsi="Calibri"/>
                <w:sz w:val="20"/>
              </w:rPr>
              <w:t>Language / localization</w:t>
            </w:r>
          </w:p>
        </w:tc>
        <w:tc>
          <w:tcPr>
            <w:tcW w:type="dxa" w:w="2381"/>
          </w:tcPr>
          <w:p>
            <w:r>
              <w:rPr>
                <w:rFonts w:ascii="Calibri" w:hAnsi="Calibri"/>
                <w:sz w:val="20"/>
              </w:rPr>
              <w:t>English + cultural references</w:t>
            </w:r>
          </w:p>
        </w:tc>
        <w:tc>
          <w:tcPr>
            <w:tcW w:type="dxa" w:w="2381"/>
          </w:tcPr>
          <w:p>
            <w:r>
              <w:rPr>
                <w:rFonts w:ascii="Calibri" w:hAnsi="Calibri"/>
                <w:sz w:val="20"/>
              </w:rPr>
              <w:t>Arabic + English; multicultural</w:t>
            </w:r>
          </w:p>
        </w:tc>
        <w:tc>
          <w:tcPr>
            <w:tcW w:type="dxa" w:w="2381"/>
          </w:tcPr>
          <w:p>
            <w:r>
              <w:rPr>
                <w:rFonts w:ascii="Calibri" w:hAnsi="Calibri"/>
                <w:sz w:val="20"/>
              </w:rPr>
              <w:t>English; European gateway</w:t>
            </w:r>
          </w:p>
        </w:tc>
      </w:tr>
      <w:tr>
        <w:tc>
          <w:tcPr>
            <w:tcW w:type="dxa" w:w="2268"/>
          </w:tcPr>
          <w:p>
            <w:r>
              <w:rPr>
                <w:rFonts w:ascii="Calibri" w:hAnsi="Calibri"/>
                <w:sz w:val="20"/>
              </w:rPr>
              <w:t>Key channels</w:t>
            </w:r>
          </w:p>
        </w:tc>
        <w:tc>
          <w:tcPr>
            <w:tcW w:type="dxa" w:w="2381"/>
          </w:tcPr>
          <w:p>
            <w:r>
              <w:rPr>
                <w:rFonts w:ascii="Calibri" w:hAnsi="Calibri"/>
                <w:sz w:val="20"/>
              </w:rPr>
              <w:t>Influencers, WhatsApp/communities, app stores</w:t>
            </w:r>
          </w:p>
        </w:tc>
        <w:tc>
          <w:tcPr>
            <w:tcW w:type="dxa" w:w="2381"/>
          </w:tcPr>
          <w:p>
            <w:r>
              <w:rPr>
                <w:rFonts w:ascii="Calibri" w:hAnsi="Calibri"/>
                <w:sz w:val="20"/>
              </w:rPr>
              <w:t>Paid social, influencers, corporate wellness</w:t>
            </w:r>
          </w:p>
        </w:tc>
        <w:tc>
          <w:tcPr>
            <w:tcW w:type="dxa" w:w="2381"/>
          </w:tcPr>
          <w:p>
            <w:r>
              <w:rPr>
                <w:rFonts w:ascii="Calibri" w:hAnsi="Calibri"/>
                <w:sz w:val="20"/>
              </w:rPr>
              <w:t>Content, PR, creator ecosystem</w:t>
            </w:r>
          </w:p>
        </w:tc>
      </w:tr>
      <w:tr>
        <w:tc>
          <w:tcPr>
            <w:tcW w:type="dxa" w:w="2268"/>
          </w:tcPr>
          <w:p>
            <w:r>
              <w:rPr>
                <w:rFonts w:ascii="Calibri" w:hAnsi="Calibri"/>
                <w:sz w:val="20"/>
              </w:rPr>
              <w:t>Primary hooks</w:t>
            </w:r>
          </w:p>
        </w:tc>
        <w:tc>
          <w:tcPr>
            <w:tcW w:type="dxa" w:w="2381"/>
          </w:tcPr>
          <w:p>
            <w:r>
              <w:rPr>
                <w:rFonts w:ascii="Calibri" w:hAnsi="Calibri"/>
                <w:sz w:val="20"/>
              </w:rPr>
              <w:t>Dream meaning + personal growth</w:t>
            </w:r>
          </w:p>
        </w:tc>
        <w:tc>
          <w:tcPr>
            <w:tcW w:type="dxa" w:w="2381"/>
          </w:tcPr>
          <w:p>
            <w:r>
              <w:rPr>
                <w:rFonts w:ascii="Calibri" w:hAnsi="Calibri"/>
                <w:sz w:val="20"/>
              </w:rPr>
              <w:t>Sleep and stress relief + premium positioning</w:t>
            </w:r>
          </w:p>
        </w:tc>
        <w:tc>
          <w:tcPr>
            <w:tcW w:type="dxa" w:w="2381"/>
          </w:tcPr>
          <w:p>
            <w:r>
              <w:rPr>
                <w:rFonts w:ascii="Calibri" w:hAnsi="Calibri"/>
                <w:sz w:val="20"/>
              </w:rPr>
              <w:t>Mental wellness + journaling and community</w:t>
            </w:r>
          </w:p>
        </w:tc>
      </w:tr>
      <w:tr>
        <w:tc>
          <w:tcPr>
            <w:tcW w:type="dxa" w:w="2268"/>
          </w:tcPr>
          <w:p>
            <w:r>
              <w:rPr>
                <w:rFonts w:ascii="Calibri" w:hAnsi="Calibri"/>
                <w:sz w:val="20"/>
              </w:rPr>
              <w:t>B2B angle</w:t>
            </w:r>
          </w:p>
        </w:tc>
        <w:tc>
          <w:tcPr>
            <w:tcW w:type="dxa" w:w="2381"/>
          </w:tcPr>
          <w:p>
            <w:r>
              <w:rPr>
                <w:rFonts w:ascii="Calibri" w:hAnsi="Calibri"/>
                <w:sz w:val="20"/>
              </w:rPr>
              <w:t>Large employers / tech</w:t>
            </w:r>
          </w:p>
        </w:tc>
        <w:tc>
          <w:tcPr>
            <w:tcW w:type="dxa" w:w="2381"/>
          </w:tcPr>
          <w:p>
            <w:r>
              <w:rPr>
                <w:rFonts w:ascii="Calibri" w:hAnsi="Calibri"/>
                <w:sz w:val="20"/>
              </w:rPr>
              <w:t>Corporate wellness, hospitality, government-linked orgs</w:t>
            </w:r>
          </w:p>
        </w:tc>
        <w:tc>
          <w:tcPr>
            <w:tcW w:type="dxa" w:w="2381"/>
          </w:tcPr>
          <w:p>
            <w:r>
              <w:rPr>
                <w:rFonts w:ascii="Calibri" w:hAnsi="Calibri"/>
                <w:sz w:val="20"/>
              </w:rPr>
              <w:t>EAP partners and mid-market firms</w:t>
            </w:r>
          </w:p>
        </w:tc>
      </w:tr>
    </w:tbl>
    <w:p/>
    <w:p>
      <w:pPr>
        <w:pStyle w:val="Heading1"/>
      </w:pPr>
      <w:r>
        <w:t>10. Traction and Key Performance Indicators</w:t>
      </w:r>
    </w:p>
    <w:p>
      <w:pPr>
        <w:spacing w:after="120"/>
      </w:pPr>
      <w:r>
        <w:rPr>
          <w:b w:val="0"/>
          <w:i w:val="0"/>
        </w:rPr>
        <w:t>The Company reports 30,000+ clients reached through books and platform, ~80% retention, and a growth track since March 2023.</w:t>
      </w:r>
    </w:p>
    <w:p>
      <w:pPr>
        <w:pStyle w:val="Heading2"/>
      </w:pPr>
      <w:r>
        <w:t>10.1 Current Status (Company stated)</w:t>
      </w:r>
    </w:p>
    <w:p>
      <w:pPr>
        <w:pStyle w:val="ListBullet"/>
        <w:spacing w:after="40"/>
        <w:ind w:left="283"/>
      </w:pPr>
      <w:r>
        <w:t>Website live: dreambuzz.site.</w:t>
      </w:r>
    </w:p>
    <w:p>
      <w:pPr>
        <w:pStyle w:val="ListBullet"/>
        <w:spacing w:after="40"/>
        <w:ind w:left="283"/>
      </w:pPr>
      <w:r>
        <w:t>Android app/prototype on Google Play (Company-stated).</w:t>
      </w:r>
    </w:p>
    <w:p>
      <w:pPr>
        <w:pStyle w:val="ListBullet"/>
        <w:spacing w:after="40"/>
        <w:ind w:left="283"/>
      </w:pPr>
      <w:r>
        <w:t>Multi-language support (EN/AR/FA).</w:t>
      </w:r>
    </w:p>
    <w:p>
      <w:pPr>
        <w:pStyle w:val="ListBullet"/>
        <w:spacing w:after="40"/>
        <w:ind w:left="283"/>
      </w:pPr>
      <w:r>
        <w:t>Published dream interpretation books supporting organic demand.</w:t>
      </w:r>
    </w:p>
    <w:p>
      <w:pPr>
        <w:pStyle w:val="Heading2"/>
      </w:pPr>
      <w:r>
        <w:t>10.2 KPI Framework (Recommended)</w:t>
      </w:r>
    </w:p>
    <w:p>
      <w:pPr>
        <w:spacing w:after="120"/>
      </w:pPr>
      <w:r>
        <w:rPr>
          <w:b w:val="0"/>
          <w:i w:val="0"/>
        </w:rPr>
        <w:t>An institutional KPI framework enables rigorous tracking and investor confidence.</w:t>
      </w:r>
    </w:p>
    <w:p>
      <w:pPr>
        <w:pStyle w:val="ListBullet"/>
        <w:spacing w:after="40"/>
        <w:ind w:left="283"/>
      </w:pPr>
      <w:r>
        <w:t>Acquisition: installs, sign-ups, CAC by channel, conversion rate by landing page.</w:t>
      </w:r>
    </w:p>
    <w:p>
      <w:pPr>
        <w:pStyle w:val="ListBullet"/>
        <w:spacing w:after="40"/>
        <w:ind w:left="283"/>
      </w:pPr>
      <w:r>
        <w:t>Activation: first dream submission rate, time-to-first-value, interpretation delivery time.</w:t>
      </w:r>
    </w:p>
    <w:p>
      <w:pPr>
        <w:pStyle w:val="ListBullet"/>
        <w:spacing w:after="40"/>
        <w:ind w:left="283"/>
      </w:pPr>
      <w:r>
        <w:t>Engagement: WAU/MAU, submissions per user, meditation minutes, journaling streaks.</w:t>
      </w:r>
    </w:p>
    <w:p>
      <w:pPr>
        <w:pStyle w:val="ListBullet"/>
        <w:spacing w:after="40"/>
        <w:ind w:left="283"/>
      </w:pPr>
      <w:r>
        <w:t>Retention: D7/D30, cohort retention, churn drivers, win-back performance.</w:t>
      </w:r>
    </w:p>
    <w:p>
      <w:pPr>
        <w:pStyle w:val="ListBullet"/>
        <w:spacing w:after="40"/>
        <w:ind w:left="283"/>
      </w:pPr>
      <w:r>
        <w:t>Monetization: paid conversion, ARPU/ARPPU, MRR, attach rate for one-off interpretations.</w:t>
      </w:r>
    </w:p>
    <w:p>
      <w:pPr>
        <w:pStyle w:val="ListBullet"/>
        <w:spacing w:after="40"/>
        <w:ind w:left="283"/>
      </w:pPr>
      <w:r>
        <w:t>Quality and safety: CSAT, complaint rate, escalation rate, moderation workload.</w:t>
      </w:r>
    </w:p>
    <w:p>
      <w:pPr>
        <w:pStyle w:val="ListBullet"/>
        <w:spacing w:after="40"/>
        <w:ind w:left="283"/>
      </w:pPr>
      <w:r>
        <w:t>Community: Dream Pal matches, messages per match, report rate per 1k users.</w:t>
      </w:r>
    </w:p>
    <w:p>
      <w:pPr>
        <w:pStyle w:val="Heading2"/>
      </w:pPr>
      <w:r>
        <w:t>10.3 Reporting Cadence and Governance (Template)</w:t>
      </w:r>
    </w:p>
    <w:p>
      <w:pPr>
        <w:spacing w:after="120"/>
      </w:pPr>
      <w:r>
        <w:rPr>
          <w:b w:val="0"/>
          <w:i w:val="0"/>
        </w:rPr>
        <w:t>A seed-stage reporting cadence can be standardized as follows:</w:t>
      </w:r>
    </w:p>
    <w:p>
      <w:pPr>
        <w:pStyle w:val="ListBullet"/>
        <w:spacing w:after="40"/>
        <w:ind w:left="283"/>
      </w:pPr>
      <w:r>
        <w:t>Weekly internal product/growth review (metrics + experiments).</w:t>
      </w:r>
    </w:p>
    <w:p>
      <w:pPr>
        <w:pStyle w:val="ListBullet"/>
        <w:spacing w:after="40"/>
        <w:ind w:left="283"/>
      </w:pPr>
      <w:r>
        <w:t>Monthly investor update (narrative + KPI dashboard + cash/runway).</w:t>
      </w:r>
    </w:p>
    <w:p>
      <w:pPr>
        <w:pStyle w:val="ListBullet"/>
        <w:spacing w:after="40"/>
        <w:ind w:left="283"/>
      </w:pPr>
      <w:r>
        <w:t>Quarterly board/observer call (strategy, budget review, hiring plan).</w:t>
      </w:r>
    </w:p>
    <w:p>
      <w:pPr>
        <w:pStyle w:val="Heading1"/>
      </w:pPr>
      <w:r>
        <w:t>11. Market Opportunity and Expansion Strategy</w:t>
      </w:r>
    </w:p>
    <w:p>
      <w:pPr>
        <w:spacing w:after="120"/>
      </w:pPr>
      <w:r>
        <w:rPr>
          <w:b w:val="0"/>
          <w:i w:val="0"/>
        </w:rPr>
        <w:t>DreamBuZZ sits at the intersection of wellness, mental wellness, and community-based self-improvement. Company-cited market data indicates large and growing markets, supporting significant upside even at modest share.</w:t>
      </w:r>
    </w:p>
    <w:p>
      <w:pPr>
        <w:pStyle w:val="Heading2"/>
      </w:pPr>
      <w:r>
        <w:t>11.1 Market Sizing Framework</w:t>
      </w:r>
    </w:p>
    <w:p>
      <w:pPr>
        <w:pStyle w:val="ListNumber"/>
        <w:spacing w:after="40"/>
      </w:pPr>
      <w:r>
        <w:t>TAM: global spend on wellness and mental wellness (including digital wellness).</w:t>
      </w:r>
    </w:p>
    <w:p>
      <w:pPr>
        <w:pStyle w:val="ListNumber"/>
        <w:spacing w:after="40"/>
      </w:pPr>
      <w:r>
        <w:t>SAM: smartphone users who actively engage with sleep, meditation, journaling, astrology, or self-reflection content.</w:t>
      </w:r>
    </w:p>
    <w:p>
      <w:pPr>
        <w:pStyle w:val="ListNumber"/>
        <w:spacing w:after="40"/>
      </w:pPr>
      <w:r>
        <w:t>SOM: users reached through validated acquisition channels with acceptable CAC and sustainable retention; plus B2B accounts closed through pilots.</w:t>
      </w:r>
    </w:p>
    <w:p>
      <w:pPr>
        <w:pStyle w:val="Heading2"/>
      </w:pPr>
      <w:r>
        <w:t>11.2 Market Dynamics and Tailwinds (Illustrative)</w:t>
      </w:r>
    </w:p>
    <w:p>
      <w:pPr>
        <w:pStyle w:val="ListBullet"/>
        <w:spacing w:after="40"/>
        <w:ind w:left="283"/>
      </w:pPr>
      <w:r>
        <w:t>Shift to preventative wellness and everyday mental fitness.</w:t>
      </w:r>
    </w:p>
    <w:p>
      <w:pPr>
        <w:pStyle w:val="ListBullet"/>
        <w:spacing w:after="40"/>
        <w:ind w:left="283"/>
      </w:pPr>
      <w:r>
        <w:t>Proliferation of subscription consumer apps in wellness categories.</w:t>
      </w:r>
    </w:p>
    <w:p>
      <w:pPr>
        <w:pStyle w:val="ListBullet"/>
        <w:spacing w:after="40"/>
        <w:ind w:left="283"/>
      </w:pPr>
      <w:r>
        <w:t>Consumer comfort with AI-based guidance and chat experiences (when safe and caveated).</w:t>
      </w:r>
    </w:p>
    <w:p>
      <w:pPr>
        <w:pStyle w:val="ListBullet"/>
        <w:spacing w:after="40"/>
        <w:ind w:left="283"/>
      </w:pPr>
      <w:r>
        <w:t>Growing global community participation through niche interest groups.</w:t>
      </w:r>
    </w:p>
    <w:p>
      <w:pPr>
        <w:pStyle w:val="ListBullet"/>
        <w:spacing w:after="40"/>
        <w:ind w:left="283"/>
      </w:pPr>
      <w:r>
        <w:t>Employer investment in wellness as burnout and retention become board-level topics.</w:t>
      </w:r>
    </w:p>
    <w:p>
      <w:pPr>
        <w:pStyle w:val="Heading2"/>
      </w:pPr>
      <w:r>
        <w:t>11.3 Expansion Strategy</w:t>
      </w:r>
    </w:p>
    <w:p>
      <w:pPr>
        <w:spacing w:after="120"/>
      </w:pPr>
      <w:r>
        <w:rPr>
          <w:b w:val="0"/>
          <w:i w:val="0"/>
        </w:rPr>
        <w:t>The Company’s stated plan includes India, UAE, and the UK over 12 months, followed by broader European expansion. This sequencing balances scale (India), ARPU and corporate wellness demand (UAE), and brand reach plus regulatory sophistication (UK/EU).</w:t>
      </w:r>
    </w:p>
    <w:p>
      <w:pPr>
        <w:pStyle w:val="Heading1"/>
      </w:pPr>
      <w:r>
        <w:t>12. Competitive Landscape</w:t>
      </w:r>
    </w:p>
    <w:p>
      <w:pPr>
        <w:spacing w:after="120"/>
      </w:pPr>
      <w:r>
        <w:rPr>
          <w:b w:val="0"/>
          <w:i w:val="0"/>
        </w:rPr>
        <w:t>Competition spans astrology and personality apps, generic dream dictionary tools, mental wellness platforms, and sleep/meditation apps.</w:t>
      </w:r>
    </w:p>
    <w:p>
      <w:pPr>
        <w:pStyle w:val="Heading2"/>
      </w:pPr>
      <w:r>
        <w:t>12.1 DreamBuZZ Differentiation (Company stated)</w:t>
      </w:r>
    </w:p>
    <w:p>
      <w:pPr>
        <w:pStyle w:val="ListBullet"/>
        <w:spacing w:after="40"/>
        <w:ind w:left="283"/>
      </w:pPr>
      <w:r>
        <w:t>Personalized interpretations with actionable insights (vs. generic dictionary outputs).</w:t>
      </w:r>
    </w:p>
    <w:p>
      <w:pPr>
        <w:pStyle w:val="ListBullet"/>
        <w:spacing w:after="40"/>
        <w:ind w:left="283"/>
      </w:pPr>
      <w:r>
        <w:t>Community matching (Dream Pal) to create connection and learning loops.</w:t>
      </w:r>
    </w:p>
    <w:p>
      <w:pPr>
        <w:pStyle w:val="ListBullet"/>
        <w:spacing w:after="40"/>
        <w:ind w:left="283"/>
      </w:pPr>
      <w:r>
        <w:t>Founder research dataset (13+ years) and published IP.</w:t>
      </w:r>
    </w:p>
    <w:p>
      <w:pPr>
        <w:pStyle w:val="ListBullet"/>
        <w:spacing w:after="40"/>
        <w:ind w:left="283"/>
      </w:pPr>
      <w:r>
        <w:t>Multi-language (EN/AR/FA) from inception, supporting global expansion.</w:t>
      </w:r>
    </w:p>
    <w:p>
      <w:pPr>
        <w:pStyle w:val="ListBullet"/>
        <w:spacing w:after="40"/>
        <w:ind w:left="283"/>
      </w:pPr>
      <w:r>
        <w:t>Pattern aggregation and advanced capabilities (research roadmap).</w:t>
      </w:r>
    </w:p>
    <w:p>
      <w:pPr>
        <w:pStyle w:val="Heading2"/>
      </w:pPr>
      <w:r>
        <w:t>12.2 Competitive Moat Formation (Illustrative)</w:t>
      </w:r>
    </w:p>
    <w:p>
      <w:pPr>
        <w:spacing w:after="120"/>
      </w:pPr>
      <w:r>
        <w:rPr>
          <w:b w:val="0"/>
          <w:i w:val="0"/>
        </w:rPr>
        <w:t>Moat formation is typically achieved through compounding advantages:</w:t>
      </w:r>
    </w:p>
    <w:p>
      <w:pPr>
        <w:pStyle w:val="ListNumber"/>
        <w:spacing w:after="40"/>
      </w:pPr>
      <w:r>
        <w:t>Data moat: increasing volume and labeled structure of dreams and outcomes.</w:t>
      </w:r>
    </w:p>
    <w:p>
      <w:pPr>
        <w:pStyle w:val="ListNumber"/>
        <w:spacing w:after="40"/>
      </w:pPr>
      <w:r>
        <w:t>Quality moat: evaluation harness and human QA driving superior interpretation trust.</w:t>
      </w:r>
    </w:p>
    <w:p>
      <w:pPr>
        <w:pStyle w:val="ListNumber"/>
        <w:spacing w:after="40"/>
      </w:pPr>
      <w:r>
        <w:t>Community moat: matching graph and relationships becoming sticky over time.</w:t>
      </w:r>
    </w:p>
    <w:p>
      <w:pPr>
        <w:pStyle w:val="ListNumber"/>
        <w:spacing w:after="40"/>
      </w:pPr>
      <w:r>
        <w:t>Brand moat: founder credibility and user trust in sensitive mental wellness use cases.</w:t>
      </w:r>
    </w:p>
    <w:p>
      <w:pPr>
        <w:pStyle w:val="ListNumber"/>
        <w:spacing w:after="40"/>
      </w:pPr>
      <w:r>
        <w:t>Distribution moat: partnerships and enterprise pilots creating non-linear growth.</w:t>
      </w:r>
    </w:p>
    <w:p>
      <w:pPr>
        <w:pStyle w:val="Heading1"/>
      </w:pPr>
      <w:r>
        <w:t>13. Financial Projections and Unit Economics</w:t>
      </w:r>
    </w:p>
    <w:p>
      <w:pPr>
        <w:spacing w:after="120"/>
      </w:pPr>
      <w:r>
        <w:rPr>
          <w:b w:val="0"/>
          <w:i w:val="0"/>
        </w:rPr>
        <w:t>The Company has provided a growth trajectory with revenue and EBITDA projections (USD millions). These figures are directional and should be validated with a bottom-up model.</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2551"/>
          </w:tcPr>
          <w:p>
            <w:r>
              <w:rPr>
                <w:rFonts w:ascii="Calibri" w:hAnsi="Calibri"/>
                <w:sz w:val="20"/>
              </w:rPr>
              <w:t>USD (millions)</w:t>
            </w:r>
          </w:p>
        </w:tc>
        <w:tc>
          <w:tcPr>
            <w:tcW w:type="dxa" w:w="1191"/>
          </w:tcPr>
          <w:p>
            <w:r>
              <w:rPr>
                <w:rFonts w:ascii="Calibri" w:hAnsi="Calibri"/>
                <w:sz w:val="20"/>
              </w:rPr>
              <w:t>Y1</w:t>
            </w:r>
          </w:p>
        </w:tc>
        <w:tc>
          <w:tcPr>
            <w:tcW w:type="dxa" w:w="1191"/>
          </w:tcPr>
          <w:p>
            <w:r>
              <w:rPr>
                <w:rFonts w:ascii="Calibri" w:hAnsi="Calibri"/>
                <w:sz w:val="20"/>
              </w:rPr>
              <w:t>Y2</w:t>
            </w:r>
          </w:p>
        </w:tc>
        <w:tc>
          <w:tcPr>
            <w:tcW w:type="dxa" w:w="1191"/>
          </w:tcPr>
          <w:p>
            <w:r>
              <w:rPr>
                <w:rFonts w:ascii="Calibri" w:hAnsi="Calibri"/>
                <w:sz w:val="20"/>
              </w:rPr>
              <w:t>Y3</w:t>
            </w:r>
          </w:p>
        </w:tc>
        <w:tc>
          <w:tcPr>
            <w:tcW w:type="dxa" w:w="1191"/>
          </w:tcPr>
          <w:p>
            <w:r>
              <w:rPr>
                <w:rFonts w:ascii="Calibri" w:hAnsi="Calibri"/>
                <w:sz w:val="20"/>
              </w:rPr>
              <w:t>Y4</w:t>
            </w:r>
          </w:p>
        </w:tc>
        <w:tc>
          <w:tcPr>
            <w:tcW w:type="dxa" w:w="1191"/>
          </w:tcPr>
          <w:p>
            <w:r>
              <w:rPr>
                <w:rFonts w:ascii="Calibri" w:hAnsi="Calibri"/>
                <w:sz w:val="20"/>
              </w:rPr>
              <w:t>Y5</w:t>
            </w:r>
          </w:p>
        </w:tc>
      </w:tr>
      <w:tr>
        <w:tc>
          <w:tcPr>
            <w:tcW w:type="dxa" w:w="2551"/>
          </w:tcPr>
          <w:p>
            <w:r>
              <w:rPr>
                <w:rFonts w:ascii="Calibri" w:hAnsi="Calibri"/>
                <w:sz w:val="20"/>
              </w:rPr>
              <w:t>Revenue</w:t>
            </w:r>
          </w:p>
        </w:tc>
        <w:tc>
          <w:tcPr>
            <w:tcW w:type="dxa" w:w="1191"/>
          </w:tcPr>
          <w:p>
            <w:r>
              <w:rPr>
                <w:rFonts w:ascii="Calibri" w:hAnsi="Calibri"/>
                <w:sz w:val="20"/>
              </w:rPr>
              <w:t>0.07</w:t>
            </w:r>
          </w:p>
        </w:tc>
        <w:tc>
          <w:tcPr>
            <w:tcW w:type="dxa" w:w="1191"/>
          </w:tcPr>
          <w:p>
            <w:r>
              <w:rPr>
                <w:rFonts w:ascii="Calibri" w:hAnsi="Calibri"/>
                <w:sz w:val="20"/>
              </w:rPr>
              <w:t>3.2</w:t>
            </w:r>
          </w:p>
        </w:tc>
        <w:tc>
          <w:tcPr>
            <w:tcW w:type="dxa" w:w="1191"/>
          </w:tcPr>
          <w:p>
            <w:r>
              <w:rPr>
                <w:rFonts w:ascii="Calibri" w:hAnsi="Calibri"/>
                <w:sz w:val="20"/>
              </w:rPr>
              <w:t>23.6</w:t>
            </w:r>
          </w:p>
        </w:tc>
        <w:tc>
          <w:tcPr>
            <w:tcW w:type="dxa" w:w="1191"/>
          </w:tcPr>
          <w:p>
            <w:r>
              <w:rPr>
                <w:rFonts w:ascii="Calibri" w:hAnsi="Calibri"/>
                <w:sz w:val="20"/>
              </w:rPr>
              <w:t>61.2</w:t>
            </w:r>
          </w:p>
        </w:tc>
        <w:tc>
          <w:tcPr>
            <w:tcW w:type="dxa" w:w="1191"/>
          </w:tcPr>
          <w:p>
            <w:r>
              <w:rPr>
                <w:rFonts w:ascii="Calibri" w:hAnsi="Calibri"/>
                <w:sz w:val="20"/>
              </w:rPr>
              <w:t>80.0</w:t>
            </w:r>
          </w:p>
        </w:tc>
      </w:tr>
      <w:tr>
        <w:tc>
          <w:tcPr>
            <w:tcW w:type="dxa" w:w="2551"/>
          </w:tcPr>
          <w:p>
            <w:r>
              <w:rPr>
                <w:rFonts w:ascii="Calibri" w:hAnsi="Calibri"/>
                <w:sz w:val="20"/>
              </w:rPr>
              <w:t>EBITDA</w:t>
            </w:r>
          </w:p>
        </w:tc>
        <w:tc>
          <w:tcPr>
            <w:tcW w:type="dxa" w:w="1191"/>
          </w:tcPr>
          <w:p>
            <w:r>
              <w:rPr>
                <w:rFonts w:ascii="Calibri" w:hAnsi="Calibri"/>
                <w:sz w:val="20"/>
              </w:rPr>
              <w:t>-0.3</w:t>
            </w:r>
          </w:p>
        </w:tc>
        <w:tc>
          <w:tcPr>
            <w:tcW w:type="dxa" w:w="1191"/>
          </w:tcPr>
          <w:p>
            <w:r>
              <w:rPr>
                <w:rFonts w:ascii="Calibri" w:hAnsi="Calibri"/>
                <w:sz w:val="20"/>
              </w:rPr>
              <w:t>0.8</w:t>
            </w:r>
          </w:p>
        </w:tc>
        <w:tc>
          <w:tcPr>
            <w:tcW w:type="dxa" w:w="1191"/>
          </w:tcPr>
          <w:p>
            <w:r>
              <w:rPr>
                <w:rFonts w:ascii="Calibri" w:hAnsi="Calibri"/>
                <w:sz w:val="20"/>
              </w:rPr>
              <w:t>12.8</w:t>
            </w:r>
          </w:p>
        </w:tc>
        <w:tc>
          <w:tcPr>
            <w:tcW w:type="dxa" w:w="1191"/>
          </w:tcPr>
          <w:p>
            <w:r>
              <w:rPr>
                <w:rFonts w:ascii="Calibri" w:hAnsi="Calibri"/>
                <w:sz w:val="20"/>
              </w:rPr>
              <w:t>37.1</w:t>
            </w:r>
          </w:p>
        </w:tc>
        <w:tc>
          <w:tcPr>
            <w:tcW w:type="dxa" w:w="1191"/>
          </w:tcPr>
          <w:p>
            <w:r>
              <w:rPr>
                <w:rFonts w:ascii="Calibri" w:hAnsi="Calibri"/>
                <w:sz w:val="20"/>
              </w:rPr>
              <w:t>48.3</w:t>
            </w:r>
          </w:p>
        </w:tc>
      </w:tr>
    </w:tbl>
    <w:p/>
    <w:p>
      <w:pPr>
        <w:pStyle w:val="Heading2"/>
      </w:pPr>
      <w:r>
        <w:t>13.1 Bottom-Up Model Outline (Template)</w:t>
      </w:r>
    </w:p>
    <w:p>
      <w:pPr>
        <w:spacing w:after="120"/>
      </w:pPr>
      <w:r>
        <w:rPr>
          <w:b w:val="0"/>
          <w:i w:val="0"/>
        </w:rPr>
        <w:t>An investment-grade model is typically built bottom-up across four blocks:</w:t>
      </w:r>
    </w:p>
    <w:p>
      <w:pPr>
        <w:pStyle w:val="ListNumber"/>
        <w:spacing w:after="40"/>
      </w:pPr>
      <w:r>
        <w:t>Users: acquisition by channel, conversion, churn, and active user base.</w:t>
      </w:r>
    </w:p>
    <w:p>
      <w:pPr>
        <w:pStyle w:val="ListNumber"/>
        <w:spacing w:after="40"/>
      </w:pPr>
      <w:r>
        <w:t>Monetization: subscription ARPU, attach rates, pricing tiers, and B2B contract ramp.</w:t>
      </w:r>
    </w:p>
    <w:p>
      <w:pPr>
        <w:pStyle w:val="ListNumber"/>
        <w:spacing w:after="40"/>
      </w:pPr>
      <w:r>
        <w:t>Cost of revenue: cloud/inference costs, support costs, payment processing fees.</w:t>
      </w:r>
    </w:p>
    <w:p>
      <w:pPr>
        <w:pStyle w:val="ListNumber"/>
        <w:spacing w:after="40"/>
      </w:pPr>
      <w:r>
        <w:t>Operating expenses: headcount, marketing, G&amp;A, and compliance.</w:t>
      </w:r>
    </w:p>
    <w:p>
      <w:pPr>
        <w:pStyle w:val="Heading2"/>
      </w:pPr>
      <w:r>
        <w:t>13.2 Unit Economics - Cohort and Payback (Illustrative)</w:t>
      </w:r>
    </w:p>
    <w:p>
      <w:pPr>
        <w:pStyle w:val="ListBullet"/>
        <w:spacing w:after="40"/>
        <w:ind w:left="283"/>
      </w:pPr>
      <w:r>
        <w:t>CAC payback: months required for gross profit to recover CAC.</w:t>
      </w:r>
    </w:p>
    <w:p>
      <w:pPr>
        <w:pStyle w:val="ListBullet"/>
        <w:spacing w:after="40"/>
        <w:ind w:left="283"/>
      </w:pPr>
      <w:r>
        <w:t>Cohort ARPU: revenue per cohort month; upgrades/downgrades; refund rates.</w:t>
      </w:r>
    </w:p>
    <w:p>
      <w:pPr>
        <w:pStyle w:val="ListBullet"/>
        <w:spacing w:after="40"/>
        <w:ind w:left="283"/>
      </w:pPr>
      <w:r>
        <w:t>Churn segmentation: by channel, geography, and product behavior (e.g., Dream Pal adoption).</w:t>
      </w:r>
    </w:p>
    <w:p>
      <w:pPr>
        <w:pStyle w:val="ListBullet"/>
        <w:spacing w:after="40"/>
        <w:ind w:left="283"/>
      </w:pPr>
      <w:r>
        <w:t>Gross margin drivers: inference cost per interpretation, content delivery cost, support cost per user.</w:t>
      </w:r>
    </w:p>
    <w:p>
      <w:pPr>
        <w:pStyle w:val="Heading2"/>
      </w:pPr>
      <w:r>
        <w:t>13.3 Sensitivity Analysis (Template)</w:t>
      </w:r>
    </w:p>
    <w:p>
      <w:pPr>
        <w:spacing w:after="120"/>
      </w:pPr>
      <w:r>
        <w:rPr>
          <w:b w:val="0"/>
          <w:i w:val="0"/>
        </w:rPr>
        <w:t>Investors typically stress-test the plan using sensitivities. Below is a template the Company can populate: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701"/>
          </w:tcPr>
          <w:p>
            <w:r>
              <w:rPr>
                <w:rFonts w:ascii="Calibri" w:hAnsi="Calibri"/>
                <w:sz w:val="20"/>
              </w:rPr>
              <w:t>Driver</w:t>
            </w:r>
          </w:p>
        </w:tc>
        <w:tc>
          <w:tcPr>
            <w:tcW w:type="dxa" w:w="1361"/>
          </w:tcPr>
          <w:p>
            <w:r>
              <w:rPr>
                <w:rFonts w:ascii="Calibri" w:hAnsi="Calibri"/>
                <w:sz w:val="20"/>
              </w:rPr>
              <w:t>Downside</w:t>
            </w:r>
          </w:p>
        </w:tc>
        <w:tc>
          <w:tcPr>
            <w:tcW w:type="dxa" w:w="1361"/>
          </w:tcPr>
          <w:p>
            <w:r>
              <w:rPr>
                <w:rFonts w:ascii="Calibri" w:hAnsi="Calibri"/>
                <w:sz w:val="20"/>
              </w:rPr>
              <w:t>Base</w:t>
            </w:r>
          </w:p>
        </w:tc>
        <w:tc>
          <w:tcPr>
            <w:tcW w:type="dxa" w:w="1361"/>
          </w:tcPr>
          <w:p>
            <w:r>
              <w:rPr>
                <w:rFonts w:ascii="Calibri" w:hAnsi="Calibri"/>
                <w:sz w:val="20"/>
              </w:rPr>
              <w:t>Upside</w:t>
            </w:r>
          </w:p>
        </w:tc>
        <w:tc>
          <w:tcPr>
            <w:tcW w:type="dxa" w:w="2721"/>
          </w:tcPr>
          <w:p>
            <w:r>
              <w:rPr>
                <w:rFonts w:ascii="Calibri" w:hAnsi="Calibri"/>
                <w:sz w:val="20"/>
              </w:rPr>
              <w:t>Commentary</w:t>
            </w:r>
          </w:p>
        </w:tc>
      </w:tr>
      <w:tr>
        <w:tc>
          <w:tcPr>
            <w:tcW w:type="dxa" w:w="1701"/>
          </w:tcPr>
          <w:p>
            <w:r>
              <w:rPr>
                <w:rFonts w:ascii="Calibri" w:hAnsi="Calibri"/>
                <w:sz w:val="20"/>
              </w:rPr>
              <w:t>Paid conversion</w:t>
            </w:r>
          </w:p>
        </w:tc>
        <w:tc>
          <w:tcPr>
            <w:tcW w:type="dxa" w:w="1361"/>
          </w:tcPr>
          <w:p>
            <w:r>
              <w:rPr>
                <w:rFonts w:ascii="Calibri" w:hAnsi="Calibri"/>
                <w:sz w:val="20"/>
              </w:rPr>
              <w:t>x0.7</w:t>
            </w:r>
          </w:p>
        </w:tc>
        <w:tc>
          <w:tcPr>
            <w:tcW w:type="dxa" w:w="1361"/>
          </w:tcPr>
          <w:p>
            <w:r>
              <w:rPr>
                <w:rFonts w:ascii="Calibri" w:hAnsi="Calibri"/>
                <w:sz w:val="20"/>
              </w:rPr>
              <w:t>x1.0</w:t>
            </w:r>
          </w:p>
        </w:tc>
        <w:tc>
          <w:tcPr>
            <w:tcW w:type="dxa" w:w="1361"/>
          </w:tcPr>
          <w:p>
            <w:r>
              <w:rPr>
                <w:rFonts w:ascii="Calibri" w:hAnsi="Calibri"/>
                <w:sz w:val="20"/>
              </w:rPr>
              <w:t>x1.3</w:t>
            </w:r>
          </w:p>
        </w:tc>
        <w:tc>
          <w:tcPr>
            <w:tcW w:type="dxa" w:w="2721"/>
          </w:tcPr>
          <w:p>
            <w:r>
              <w:rPr>
                <w:rFonts w:ascii="Calibri" w:hAnsi="Calibri"/>
                <w:sz w:val="20"/>
              </w:rPr>
              <w:t>Impact on MRR and payback</w:t>
            </w:r>
          </w:p>
        </w:tc>
      </w:tr>
      <w:tr>
        <w:tc>
          <w:tcPr>
            <w:tcW w:type="dxa" w:w="1701"/>
          </w:tcPr>
          <w:p>
            <w:r>
              <w:rPr>
                <w:rFonts w:ascii="Calibri" w:hAnsi="Calibri"/>
                <w:sz w:val="20"/>
              </w:rPr>
              <w:t>Retention / churn</w:t>
            </w:r>
          </w:p>
        </w:tc>
        <w:tc>
          <w:tcPr>
            <w:tcW w:type="dxa" w:w="1361"/>
          </w:tcPr>
          <w:p>
            <w:r>
              <w:rPr>
                <w:rFonts w:ascii="Calibri" w:hAnsi="Calibri"/>
                <w:sz w:val="20"/>
              </w:rPr>
              <w:t>x0.8</w:t>
            </w:r>
          </w:p>
        </w:tc>
        <w:tc>
          <w:tcPr>
            <w:tcW w:type="dxa" w:w="1361"/>
          </w:tcPr>
          <w:p>
            <w:r>
              <w:rPr>
                <w:rFonts w:ascii="Calibri" w:hAnsi="Calibri"/>
                <w:sz w:val="20"/>
              </w:rPr>
              <w:t>x1.0</w:t>
            </w:r>
          </w:p>
        </w:tc>
        <w:tc>
          <w:tcPr>
            <w:tcW w:type="dxa" w:w="1361"/>
          </w:tcPr>
          <w:p>
            <w:r>
              <w:rPr>
                <w:rFonts w:ascii="Calibri" w:hAnsi="Calibri"/>
                <w:sz w:val="20"/>
              </w:rPr>
              <w:t>x1.1</w:t>
            </w:r>
          </w:p>
        </w:tc>
        <w:tc>
          <w:tcPr>
            <w:tcW w:type="dxa" w:w="2721"/>
          </w:tcPr>
          <w:p>
            <w:r>
              <w:rPr>
                <w:rFonts w:ascii="Calibri" w:hAnsi="Calibri"/>
                <w:sz w:val="20"/>
              </w:rPr>
              <w:t>Compounds LTV materially</w:t>
            </w:r>
          </w:p>
        </w:tc>
      </w:tr>
      <w:tr>
        <w:tc>
          <w:tcPr>
            <w:tcW w:type="dxa" w:w="1701"/>
          </w:tcPr>
          <w:p>
            <w:r>
              <w:rPr>
                <w:rFonts w:ascii="Calibri" w:hAnsi="Calibri"/>
                <w:sz w:val="20"/>
              </w:rPr>
              <w:t>CAC</w:t>
            </w:r>
          </w:p>
        </w:tc>
        <w:tc>
          <w:tcPr>
            <w:tcW w:type="dxa" w:w="1361"/>
          </w:tcPr>
          <w:p>
            <w:r>
              <w:rPr>
                <w:rFonts w:ascii="Calibri" w:hAnsi="Calibri"/>
                <w:sz w:val="20"/>
              </w:rPr>
              <w:t>x1.3</w:t>
            </w:r>
          </w:p>
        </w:tc>
        <w:tc>
          <w:tcPr>
            <w:tcW w:type="dxa" w:w="1361"/>
          </w:tcPr>
          <w:p>
            <w:r>
              <w:rPr>
                <w:rFonts w:ascii="Calibri" w:hAnsi="Calibri"/>
                <w:sz w:val="20"/>
              </w:rPr>
              <w:t>x1.0</w:t>
            </w:r>
          </w:p>
        </w:tc>
        <w:tc>
          <w:tcPr>
            <w:tcW w:type="dxa" w:w="1361"/>
          </w:tcPr>
          <w:p>
            <w:r>
              <w:rPr>
                <w:rFonts w:ascii="Calibri" w:hAnsi="Calibri"/>
                <w:sz w:val="20"/>
              </w:rPr>
              <w:t>x0.8</w:t>
            </w:r>
          </w:p>
        </w:tc>
        <w:tc>
          <w:tcPr>
            <w:tcW w:type="dxa" w:w="2721"/>
          </w:tcPr>
          <w:p>
            <w:r>
              <w:rPr>
                <w:rFonts w:ascii="Calibri" w:hAnsi="Calibri"/>
                <w:sz w:val="20"/>
              </w:rPr>
              <w:t>Determines scalable growth rate</w:t>
            </w:r>
          </w:p>
        </w:tc>
      </w:tr>
      <w:tr>
        <w:tc>
          <w:tcPr>
            <w:tcW w:type="dxa" w:w="1701"/>
          </w:tcPr>
          <w:p>
            <w:r>
              <w:rPr>
                <w:rFonts w:ascii="Calibri" w:hAnsi="Calibri"/>
                <w:sz w:val="20"/>
              </w:rPr>
              <w:t>Gross margin</w:t>
            </w:r>
          </w:p>
        </w:tc>
        <w:tc>
          <w:tcPr>
            <w:tcW w:type="dxa" w:w="1361"/>
          </w:tcPr>
          <w:p>
            <w:r>
              <w:rPr>
                <w:rFonts w:ascii="Calibri" w:hAnsi="Calibri"/>
                <w:sz w:val="20"/>
              </w:rPr>
              <w:t>60%</w:t>
            </w:r>
          </w:p>
        </w:tc>
        <w:tc>
          <w:tcPr>
            <w:tcW w:type="dxa" w:w="1361"/>
          </w:tcPr>
          <w:p>
            <w:r>
              <w:rPr>
                <w:rFonts w:ascii="Calibri" w:hAnsi="Calibri"/>
                <w:sz w:val="20"/>
              </w:rPr>
              <w:t>70%</w:t>
            </w:r>
          </w:p>
        </w:tc>
        <w:tc>
          <w:tcPr>
            <w:tcW w:type="dxa" w:w="1361"/>
          </w:tcPr>
          <w:p>
            <w:r>
              <w:rPr>
                <w:rFonts w:ascii="Calibri" w:hAnsi="Calibri"/>
                <w:sz w:val="20"/>
              </w:rPr>
              <w:t>80%</w:t>
            </w:r>
          </w:p>
        </w:tc>
        <w:tc>
          <w:tcPr>
            <w:tcW w:type="dxa" w:w="2721"/>
          </w:tcPr>
          <w:p>
            <w:r>
              <w:rPr>
                <w:rFonts w:ascii="Calibri" w:hAnsi="Calibri"/>
                <w:sz w:val="20"/>
              </w:rPr>
              <w:t>Driven by inference and support efficiency</w:t>
            </w:r>
          </w:p>
        </w:tc>
      </w:tr>
      <w:tr>
        <w:tc>
          <w:tcPr>
            <w:tcW w:type="dxa" w:w="1701"/>
          </w:tcPr>
          <w:p>
            <w:r>
              <w:rPr>
                <w:rFonts w:ascii="Calibri" w:hAnsi="Calibri"/>
                <w:sz w:val="20"/>
              </w:rPr>
              <w:t>B2B ramp speed</w:t>
            </w:r>
          </w:p>
        </w:tc>
        <w:tc>
          <w:tcPr>
            <w:tcW w:type="dxa" w:w="1361"/>
          </w:tcPr>
          <w:p>
            <w:r>
              <w:rPr>
                <w:rFonts w:ascii="Calibri" w:hAnsi="Calibri"/>
                <w:sz w:val="20"/>
              </w:rPr>
              <w:t>Slow</w:t>
            </w:r>
          </w:p>
        </w:tc>
        <w:tc>
          <w:tcPr>
            <w:tcW w:type="dxa" w:w="1361"/>
          </w:tcPr>
          <w:p>
            <w:r>
              <w:rPr>
                <w:rFonts w:ascii="Calibri" w:hAnsi="Calibri"/>
                <w:sz w:val="20"/>
              </w:rPr>
              <w:t>Planned</w:t>
            </w:r>
          </w:p>
        </w:tc>
        <w:tc>
          <w:tcPr>
            <w:tcW w:type="dxa" w:w="1361"/>
          </w:tcPr>
          <w:p>
            <w:r>
              <w:rPr>
                <w:rFonts w:ascii="Calibri" w:hAnsi="Calibri"/>
                <w:sz w:val="20"/>
              </w:rPr>
              <w:t>Fast</w:t>
            </w:r>
          </w:p>
        </w:tc>
        <w:tc>
          <w:tcPr>
            <w:tcW w:type="dxa" w:w="2721"/>
          </w:tcPr>
          <w:p>
            <w:r>
              <w:rPr>
                <w:rFonts w:ascii="Calibri" w:hAnsi="Calibri"/>
                <w:sz w:val="20"/>
              </w:rPr>
              <w:t>High leverage on revenue stability</w:t>
            </w:r>
          </w:p>
        </w:tc>
      </w:tr>
    </w:tbl>
    <w:p/>
    <w:p>
      <w:pPr>
        <w:pStyle w:val="Heading1"/>
      </w:pPr>
      <w:r>
        <w:t>14. Use of Proceeds, Operating Plan, and 12-Month Roadmap</w:t>
      </w:r>
    </w:p>
    <w:p>
      <w:pPr>
        <w:spacing w:after="120"/>
      </w:pPr>
      <w:r>
        <w:rPr>
          <w:b w:val="0"/>
          <w:i w:val="0"/>
        </w:rPr>
        <w:t>The seed raise is intended to fund product buildout, hiring, operations, marketing, and expansion initiatives over approximately 12 months.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381"/>
          </w:tcPr>
          <w:p>
            <w:r>
              <w:rPr>
                <w:rFonts w:ascii="Calibri" w:hAnsi="Calibri"/>
                <w:sz w:val="20"/>
              </w:rPr>
              <w:t>Category</w:t>
            </w:r>
          </w:p>
        </w:tc>
        <w:tc>
          <w:tcPr>
            <w:tcW w:type="dxa" w:w="1701"/>
          </w:tcPr>
          <w:p>
            <w:r>
              <w:rPr>
                <w:rFonts w:ascii="Calibri" w:hAnsi="Calibri"/>
                <w:sz w:val="20"/>
              </w:rPr>
              <w:t>Amount (AUD)</w:t>
            </w:r>
          </w:p>
        </w:tc>
        <w:tc>
          <w:tcPr>
            <w:tcW w:type="dxa" w:w="1247"/>
          </w:tcPr>
          <w:p>
            <w:r>
              <w:rPr>
                <w:rFonts w:ascii="Calibri" w:hAnsi="Calibri"/>
                <w:sz w:val="20"/>
              </w:rPr>
              <w:t>Share</w:t>
            </w:r>
          </w:p>
        </w:tc>
        <w:tc>
          <w:tcPr>
            <w:tcW w:type="dxa" w:w="3175"/>
          </w:tcPr>
          <w:p>
            <w:r>
              <w:rPr>
                <w:rFonts w:ascii="Calibri" w:hAnsi="Calibri"/>
                <w:sz w:val="20"/>
              </w:rPr>
              <w:t>Description</w:t>
            </w:r>
          </w:p>
        </w:tc>
      </w:tr>
      <w:tr>
        <w:tc>
          <w:tcPr>
            <w:tcW w:type="dxa" w:w="2381"/>
          </w:tcPr>
          <w:p>
            <w:r>
              <w:rPr>
                <w:rFonts w:ascii="Calibri" w:hAnsi="Calibri"/>
                <w:sz w:val="20"/>
              </w:rPr>
              <w:t>Manpower &amp; Engineering</w:t>
            </w:r>
          </w:p>
        </w:tc>
        <w:tc>
          <w:tcPr>
            <w:tcW w:type="dxa" w:w="1701"/>
          </w:tcPr>
          <w:p>
            <w:r>
              <w:rPr>
                <w:rFonts w:ascii="Calibri" w:hAnsi="Calibri"/>
                <w:sz w:val="20"/>
              </w:rPr>
              <w:t>3.2m</w:t>
            </w:r>
          </w:p>
        </w:tc>
        <w:tc>
          <w:tcPr>
            <w:tcW w:type="dxa" w:w="1247"/>
          </w:tcPr>
          <w:p>
            <w:r>
              <w:rPr>
                <w:rFonts w:ascii="Calibri" w:hAnsi="Calibri"/>
                <w:sz w:val="20"/>
              </w:rPr>
              <w:t>64.5%</w:t>
            </w:r>
          </w:p>
        </w:tc>
        <w:tc>
          <w:tcPr>
            <w:tcW w:type="dxa" w:w="3175"/>
          </w:tcPr>
          <w:p>
            <w:r>
              <w:rPr>
                <w:rFonts w:ascii="Calibri" w:hAnsi="Calibri"/>
                <w:sz w:val="20"/>
              </w:rPr>
              <w:t>AI/ML engineers, developers, support team</w:t>
            </w:r>
          </w:p>
        </w:tc>
      </w:tr>
      <w:tr>
        <w:tc>
          <w:tcPr>
            <w:tcW w:type="dxa" w:w="2381"/>
          </w:tcPr>
          <w:p>
            <w:r>
              <w:rPr>
                <w:rFonts w:ascii="Calibri" w:hAnsi="Calibri"/>
                <w:sz w:val="20"/>
              </w:rPr>
              <w:t>Operating Expenses</w:t>
            </w:r>
          </w:p>
        </w:tc>
        <w:tc>
          <w:tcPr>
            <w:tcW w:type="dxa" w:w="1701"/>
          </w:tcPr>
          <w:p>
            <w:r>
              <w:rPr>
                <w:rFonts w:ascii="Calibri" w:hAnsi="Calibri"/>
                <w:sz w:val="20"/>
              </w:rPr>
              <w:t>1.1m</w:t>
            </w:r>
          </w:p>
        </w:tc>
        <w:tc>
          <w:tcPr>
            <w:tcW w:type="dxa" w:w="1247"/>
          </w:tcPr>
          <w:p>
            <w:r>
              <w:rPr>
                <w:rFonts w:ascii="Calibri" w:hAnsi="Calibri"/>
                <w:sz w:val="20"/>
              </w:rPr>
              <w:t>22.4%</w:t>
            </w:r>
          </w:p>
        </w:tc>
        <w:tc>
          <w:tcPr>
            <w:tcW w:type="dxa" w:w="3175"/>
          </w:tcPr>
          <w:p>
            <w:r>
              <w:rPr>
                <w:rFonts w:ascii="Calibri" w:hAnsi="Calibri"/>
                <w:sz w:val="20"/>
              </w:rPr>
              <w:t>Infrastructure, cloud, compliance</w:t>
            </w:r>
          </w:p>
        </w:tc>
      </w:tr>
      <w:tr>
        <w:tc>
          <w:tcPr>
            <w:tcW w:type="dxa" w:w="2381"/>
          </w:tcPr>
          <w:p>
            <w:r>
              <w:rPr>
                <w:rFonts w:ascii="Calibri" w:hAnsi="Calibri"/>
                <w:sz w:val="20"/>
              </w:rPr>
              <w:t>Marketing &amp; Growth</w:t>
            </w:r>
          </w:p>
        </w:tc>
        <w:tc>
          <w:tcPr>
            <w:tcW w:type="dxa" w:w="1701"/>
          </w:tcPr>
          <w:p>
            <w:r>
              <w:rPr>
                <w:rFonts w:ascii="Calibri" w:hAnsi="Calibri"/>
                <w:sz w:val="20"/>
              </w:rPr>
              <w:t>0.525m</w:t>
            </w:r>
          </w:p>
        </w:tc>
        <w:tc>
          <w:tcPr>
            <w:tcW w:type="dxa" w:w="1247"/>
          </w:tcPr>
          <w:p>
            <w:r>
              <w:rPr>
                <w:rFonts w:ascii="Calibri" w:hAnsi="Calibri"/>
                <w:sz w:val="20"/>
              </w:rPr>
              <w:t>10.5%</w:t>
            </w:r>
          </w:p>
        </w:tc>
        <w:tc>
          <w:tcPr>
            <w:tcW w:type="dxa" w:w="3175"/>
          </w:tcPr>
          <w:p>
            <w:r>
              <w:rPr>
                <w:rFonts w:ascii="Calibri" w:hAnsi="Calibri"/>
                <w:sz w:val="20"/>
              </w:rPr>
              <w:t>User acquisition, brand building</w:t>
            </w:r>
          </w:p>
        </w:tc>
      </w:tr>
      <w:tr>
        <w:tc>
          <w:tcPr>
            <w:tcW w:type="dxa" w:w="2381"/>
          </w:tcPr>
          <w:p>
            <w:r>
              <w:rPr>
                <w:rFonts w:ascii="Calibri" w:hAnsi="Calibri"/>
                <w:sz w:val="20"/>
              </w:rPr>
              <w:t>CAPEX</w:t>
            </w:r>
          </w:p>
        </w:tc>
        <w:tc>
          <w:tcPr>
            <w:tcW w:type="dxa" w:w="1701"/>
          </w:tcPr>
          <w:p>
            <w:r>
              <w:rPr>
                <w:rFonts w:ascii="Calibri" w:hAnsi="Calibri"/>
                <w:sz w:val="20"/>
              </w:rPr>
              <w:t>0.125m</w:t>
            </w:r>
          </w:p>
        </w:tc>
        <w:tc>
          <w:tcPr>
            <w:tcW w:type="dxa" w:w="1247"/>
          </w:tcPr>
          <w:p>
            <w:r>
              <w:rPr>
                <w:rFonts w:ascii="Calibri" w:hAnsi="Calibri"/>
                <w:sz w:val="20"/>
              </w:rPr>
              <w:t>2.5%</w:t>
            </w:r>
          </w:p>
        </w:tc>
        <w:tc>
          <w:tcPr>
            <w:tcW w:type="dxa" w:w="3175"/>
          </w:tcPr>
          <w:p>
            <w:r>
              <w:rPr>
                <w:rFonts w:ascii="Calibri" w:hAnsi="Calibri"/>
                <w:sz w:val="20"/>
              </w:rPr>
              <w:t>Equipment, software licenses</w:t>
            </w:r>
          </w:p>
        </w:tc>
      </w:tr>
    </w:tbl>
    <w:p/>
    <w:p>
      <w:pPr>
        <w:pStyle w:val="Heading2"/>
      </w:pPr>
      <w:r>
        <w:t>14.1 Quarterly Operating Plan (Template)</w:t>
      </w:r>
    </w:p>
    <w:p>
      <w:pPr>
        <w:spacing w:after="120"/>
      </w:pPr>
      <w:r>
        <w:rPr>
          <w:b w:val="0"/>
          <w:i w:val="0"/>
        </w:rPr>
        <w:t>Below is a quarterly allocation template aligned with the Company’s roadmap. Figures are illustrative and should be adjusted to actual hiring and launch timing.</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2381"/>
          </w:tcPr>
          <w:p>
            <w:r>
              <w:rPr>
                <w:rFonts w:ascii="Calibri" w:hAnsi="Calibri"/>
                <w:sz w:val="20"/>
              </w:rPr>
              <w:t>Category (AUD)</w:t>
            </w:r>
          </w:p>
        </w:tc>
        <w:tc>
          <w:tcPr>
            <w:tcW w:type="dxa" w:w="1191"/>
          </w:tcPr>
          <w:p>
            <w:r>
              <w:rPr>
                <w:rFonts w:ascii="Calibri" w:hAnsi="Calibri"/>
                <w:sz w:val="20"/>
              </w:rPr>
              <w:t>Q1</w:t>
            </w:r>
          </w:p>
        </w:tc>
        <w:tc>
          <w:tcPr>
            <w:tcW w:type="dxa" w:w="1191"/>
          </w:tcPr>
          <w:p>
            <w:r>
              <w:rPr>
                <w:rFonts w:ascii="Calibri" w:hAnsi="Calibri"/>
                <w:sz w:val="20"/>
              </w:rPr>
              <w:t>Q2</w:t>
            </w:r>
          </w:p>
        </w:tc>
        <w:tc>
          <w:tcPr>
            <w:tcW w:type="dxa" w:w="1191"/>
          </w:tcPr>
          <w:p>
            <w:r>
              <w:rPr>
                <w:rFonts w:ascii="Calibri" w:hAnsi="Calibri"/>
                <w:sz w:val="20"/>
              </w:rPr>
              <w:t>Q3</w:t>
            </w:r>
          </w:p>
        </w:tc>
        <w:tc>
          <w:tcPr>
            <w:tcW w:type="dxa" w:w="1191"/>
          </w:tcPr>
          <w:p>
            <w:r>
              <w:rPr>
                <w:rFonts w:ascii="Calibri" w:hAnsi="Calibri"/>
                <w:sz w:val="20"/>
              </w:rPr>
              <w:t>Q4</w:t>
            </w:r>
          </w:p>
        </w:tc>
        <w:tc>
          <w:tcPr>
            <w:tcW w:type="dxa" w:w="1361"/>
          </w:tcPr>
          <w:p>
            <w:r>
              <w:rPr>
                <w:rFonts w:ascii="Calibri" w:hAnsi="Calibri"/>
                <w:sz w:val="20"/>
              </w:rPr>
              <w:t>Total</w:t>
            </w:r>
          </w:p>
        </w:tc>
      </w:tr>
      <w:tr>
        <w:tc>
          <w:tcPr>
            <w:tcW w:type="dxa" w:w="2381"/>
          </w:tcPr>
          <w:p>
            <w:r>
              <w:rPr>
                <w:rFonts w:ascii="Calibri" w:hAnsi="Calibri"/>
                <w:sz w:val="20"/>
              </w:rPr>
              <w:t>Manpower &amp; Engineering</w:t>
            </w:r>
          </w:p>
        </w:tc>
        <w:tc>
          <w:tcPr>
            <w:tcW w:type="dxa" w:w="1191"/>
          </w:tcPr>
          <w:p>
            <w:r>
              <w:rPr>
                <w:rFonts w:ascii="Calibri" w:hAnsi="Calibri"/>
                <w:sz w:val="20"/>
              </w:rPr>
              <w:t>0.75m</w:t>
            </w:r>
          </w:p>
        </w:tc>
        <w:tc>
          <w:tcPr>
            <w:tcW w:type="dxa" w:w="1191"/>
          </w:tcPr>
          <w:p>
            <w:r>
              <w:rPr>
                <w:rFonts w:ascii="Calibri" w:hAnsi="Calibri"/>
                <w:sz w:val="20"/>
              </w:rPr>
              <w:t>0.85m</w:t>
            </w:r>
          </w:p>
        </w:tc>
        <w:tc>
          <w:tcPr>
            <w:tcW w:type="dxa" w:w="1191"/>
          </w:tcPr>
          <w:p>
            <w:r>
              <w:rPr>
                <w:rFonts w:ascii="Calibri" w:hAnsi="Calibri"/>
                <w:sz w:val="20"/>
              </w:rPr>
              <w:t>0.85m</w:t>
            </w:r>
          </w:p>
        </w:tc>
        <w:tc>
          <w:tcPr>
            <w:tcW w:type="dxa" w:w="1191"/>
          </w:tcPr>
          <w:p>
            <w:r>
              <w:rPr>
                <w:rFonts w:ascii="Calibri" w:hAnsi="Calibri"/>
                <w:sz w:val="20"/>
              </w:rPr>
              <w:t>0.75m</w:t>
            </w:r>
          </w:p>
        </w:tc>
        <w:tc>
          <w:tcPr>
            <w:tcW w:type="dxa" w:w="1361"/>
          </w:tcPr>
          <w:p>
            <w:r>
              <w:rPr>
                <w:rFonts w:ascii="Calibri" w:hAnsi="Calibri"/>
                <w:sz w:val="20"/>
              </w:rPr>
              <w:t>3.20m</w:t>
            </w:r>
          </w:p>
        </w:tc>
      </w:tr>
      <w:tr>
        <w:tc>
          <w:tcPr>
            <w:tcW w:type="dxa" w:w="2381"/>
          </w:tcPr>
          <w:p>
            <w:r>
              <w:rPr>
                <w:rFonts w:ascii="Calibri" w:hAnsi="Calibri"/>
                <w:sz w:val="20"/>
              </w:rPr>
              <w:t>Operating Expenses</w:t>
            </w:r>
          </w:p>
        </w:tc>
        <w:tc>
          <w:tcPr>
            <w:tcW w:type="dxa" w:w="1191"/>
          </w:tcPr>
          <w:p>
            <w:r>
              <w:rPr>
                <w:rFonts w:ascii="Calibri" w:hAnsi="Calibri"/>
                <w:sz w:val="20"/>
              </w:rPr>
              <w:t>0.25m</w:t>
            </w:r>
          </w:p>
        </w:tc>
        <w:tc>
          <w:tcPr>
            <w:tcW w:type="dxa" w:w="1191"/>
          </w:tcPr>
          <w:p>
            <w:r>
              <w:rPr>
                <w:rFonts w:ascii="Calibri" w:hAnsi="Calibri"/>
                <w:sz w:val="20"/>
              </w:rPr>
              <w:t>0.28m</w:t>
            </w:r>
          </w:p>
        </w:tc>
        <w:tc>
          <w:tcPr>
            <w:tcW w:type="dxa" w:w="1191"/>
          </w:tcPr>
          <w:p>
            <w:r>
              <w:rPr>
                <w:rFonts w:ascii="Calibri" w:hAnsi="Calibri"/>
                <w:sz w:val="20"/>
              </w:rPr>
              <w:t>0.28m</w:t>
            </w:r>
          </w:p>
        </w:tc>
        <w:tc>
          <w:tcPr>
            <w:tcW w:type="dxa" w:w="1191"/>
          </w:tcPr>
          <w:p>
            <w:r>
              <w:rPr>
                <w:rFonts w:ascii="Calibri" w:hAnsi="Calibri"/>
                <w:sz w:val="20"/>
              </w:rPr>
              <w:t>0.29m</w:t>
            </w:r>
          </w:p>
        </w:tc>
        <w:tc>
          <w:tcPr>
            <w:tcW w:type="dxa" w:w="1361"/>
          </w:tcPr>
          <w:p>
            <w:r>
              <w:rPr>
                <w:rFonts w:ascii="Calibri" w:hAnsi="Calibri"/>
                <w:sz w:val="20"/>
              </w:rPr>
              <w:t>1.10m</w:t>
            </w:r>
          </w:p>
        </w:tc>
      </w:tr>
      <w:tr>
        <w:tc>
          <w:tcPr>
            <w:tcW w:type="dxa" w:w="2381"/>
          </w:tcPr>
          <w:p>
            <w:r>
              <w:rPr>
                <w:rFonts w:ascii="Calibri" w:hAnsi="Calibri"/>
                <w:sz w:val="20"/>
              </w:rPr>
              <w:t>Marketing &amp; Growth</w:t>
            </w:r>
          </w:p>
        </w:tc>
        <w:tc>
          <w:tcPr>
            <w:tcW w:type="dxa" w:w="1191"/>
          </w:tcPr>
          <w:p>
            <w:r>
              <w:rPr>
                <w:rFonts w:ascii="Calibri" w:hAnsi="Calibri"/>
                <w:sz w:val="20"/>
              </w:rPr>
              <w:t>0.10m</w:t>
            </w:r>
          </w:p>
        </w:tc>
        <w:tc>
          <w:tcPr>
            <w:tcW w:type="dxa" w:w="1191"/>
          </w:tcPr>
          <w:p>
            <w:r>
              <w:rPr>
                <w:rFonts w:ascii="Calibri" w:hAnsi="Calibri"/>
                <w:sz w:val="20"/>
              </w:rPr>
              <w:t>0.15m</w:t>
            </w:r>
          </w:p>
        </w:tc>
        <w:tc>
          <w:tcPr>
            <w:tcW w:type="dxa" w:w="1191"/>
          </w:tcPr>
          <w:p>
            <w:r>
              <w:rPr>
                <w:rFonts w:ascii="Calibri" w:hAnsi="Calibri"/>
                <w:sz w:val="20"/>
              </w:rPr>
              <w:t>0.14m</w:t>
            </w:r>
          </w:p>
        </w:tc>
        <w:tc>
          <w:tcPr>
            <w:tcW w:type="dxa" w:w="1191"/>
          </w:tcPr>
          <w:p>
            <w:r>
              <w:rPr>
                <w:rFonts w:ascii="Calibri" w:hAnsi="Calibri"/>
                <w:sz w:val="20"/>
              </w:rPr>
              <w:t>0.135m</w:t>
            </w:r>
          </w:p>
        </w:tc>
        <w:tc>
          <w:tcPr>
            <w:tcW w:type="dxa" w:w="1361"/>
          </w:tcPr>
          <w:p>
            <w:r>
              <w:rPr>
                <w:rFonts w:ascii="Calibri" w:hAnsi="Calibri"/>
                <w:sz w:val="20"/>
              </w:rPr>
              <w:t>0.525m</w:t>
            </w:r>
          </w:p>
        </w:tc>
      </w:tr>
      <w:tr>
        <w:tc>
          <w:tcPr>
            <w:tcW w:type="dxa" w:w="2381"/>
          </w:tcPr>
          <w:p>
            <w:r>
              <w:rPr>
                <w:rFonts w:ascii="Calibri" w:hAnsi="Calibri"/>
                <w:sz w:val="20"/>
              </w:rPr>
              <w:t>CAPEX</w:t>
            </w:r>
          </w:p>
        </w:tc>
        <w:tc>
          <w:tcPr>
            <w:tcW w:type="dxa" w:w="1191"/>
          </w:tcPr>
          <w:p>
            <w:r>
              <w:rPr>
                <w:rFonts w:ascii="Calibri" w:hAnsi="Calibri"/>
                <w:sz w:val="20"/>
              </w:rPr>
              <w:t>0.05m</w:t>
            </w:r>
          </w:p>
        </w:tc>
        <w:tc>
          <w:tcPr>
            <w:tcW w:type="dxa" w:w="1191"/>
          </w:tcPr>
          <w:p>
            <w:r>
              <w:rPr>
                <w:rFonts w:ascii="Calibri" w:hAnsi="Calibri"/>
                <w:sz w:val="20"/>
              </w:rPr>
              <w:t>0.03m</w:t>
            </w:r>
          </w:p>
        </w:tc>
        <w:tc>
          <w:tcPr>
            <w:tcW w:type="dxa" w:w="1191"/>
          </w:tcPr>
          <w:p>
            <w:r>
              <w:rPr>
                <w:rFonts w:ascii="Calibri" w:hAnsi="Calibri"/>
                <w:sz w:val="20"/>
              </w:rPr>
              <w:t>0.02m</w:t>
            </w:r>
          </w:p>
        </w:tc>
        <w:tc>
          <w:tcPr>
            <w:tcW w:type="dxa" w:w="1191"/>
          </w:tcPr>
          <w:p>
            <w:r>
              <w:rPr>
                <w:rFonts w:ascii="Calibri" w:hAnsi="Calibri"/>
                <w:sz w:val="20"/>
              </w:rPr>
              <w:t>0.025m</w:t>
            </w:r>
          </w:p>
        </w:tc>
        <w:tc>
          <w:tcPr>
            <w:tcW w:type="dxa" w:w="1361"/>
          </w:tcPr>
          <w:p>
            <w:r>
              <w:rPr>
                <w:rFonts w:ascii="Calibri" w:hAnsi="Calibri"/>
                <w:sz w:val="20"/>
              </w:rPr>
              <w:t>0.125m</w:t>
            </w:r>
          </w:p>
        </w:tc>
      </w:tr>
      <w:tr>
        <w:tc>
          <w:tcPr>
            <w:tcW w:type="dxa" w:w="2381"/>
          </w:tcPr>
          <w:p>
            <w:r>
              <w:rPr>
                <w:rFonts w:ascii="Calibri" w:hAnsi="Calibri"/>
                <w:sz w:val="20"/>
              </w:rPr>
              <w:t>Total</w:t>
            </w:r>
          </w:p>
        </w:tc>
        <w:tc>
          <w:tcPr>
            <w:tcW w:type="dxa" w:w="1191"/>
          </w:tcPr>
          <w:p>
            <w:r>
              <w:rPr>
                <w:rFonts w:ascii="Calibri" w:hAnsi="Calibri"/>
                <w:sz w:val="20"/>
              </w:rPr>
              <w:t>1.15m</w:t>
            </w:r>
          </w:p>
        </w:tc>
        <w:tc>
          <w:tcPr>
            <w:tcW w:type="dxa" w:w="1191"/>
          </w:tcPr>
          <w:p>
            <w:r>
              <w:rPr>
                <w:rFonts w:ascii="Calibri" w:hAnsi="Calibri"/>
                <w:sz w:val="20"/>
              </w:rPr>
              <w:t>1.31m</w:t>
            </w:r>
          </w:p>
        </w:tc>
        <w:tc>
          <w:tcPr>
            <w:tcW w:type="dxa" w:w="1191"/>
          </w:tcPr>
          <w:p>
            <w:r>
              <w:rPr>
                <w:rFonts w:ascii="Calibri" w:hAnsi="Calibri"/>
                <w:sz w:val="20"/>
              </w:rPr>
              <w:t>1.29m</w:t>
            </w:r>
          </w:p>
        </w:tc>
        <w:tc>
          <w:tcPr>
            <w:tcW w:type="dxa" w:w="1191"/>
          </w:tcPr>
          <w:p>
            <w:r>
              <w:rPr>
                <w:rFonts w:ascii="Calibri" w:hAnsi="Calibri"/>
                <w:sz w:val="20"/>
              </w:rPr>
              <w:t>1.20m</w:t>
            </w:r>
          </w:p>
        </w:tc>
        <w:tc>
          <w:tcPr>
            <w:tcW w:type="dxa" w:w="1361"/>
          </w:tcPr>
          <w:p>
            <w:r>
              <w:rPr>
                <w:rFonts w:ascii="Calibri" w:hAnsi="Calibri"/>
                <w:sz w:val="20"/>
              </w:rPr>
              <w:t>5.00m</w:t>
            </w:r>
          </w:p>
        </w:tc>
      </w:tr>
    </w:tbl>
    <w:p/>
    <w:p>
      <w:pPr>
        <w:pStyle w:val="Heading2"/>
      </w:pPr>
      <w:r>
        <w:t>14.2 12-Month Roadmap (Company stated)</w:t>
      </w:r>
    </w:p>
    <w:p>
      <w:pPr>
        <w:pStyle w:val="ListBullet"/>
        <w:spacing w:after="40"/>
        <w:ind w:left="283"/>
      </w:pPr>
      <w:r>
        <w:t>Q1 - Foundation: build and launch iOS/Android apps; complete website redesign; hire core team.</w:t>
      </w:r>
    </w:p>
    <w:p>
      <w:pPr>
        <w:pStyle w:val="ListBullet"/>
        <w:spacing w:after="40"/>
        <w:ind w:left="283"/>
      </w:pPr>
      <w:r>
        <w:t>Q2 - Growth: launch AI interpretation model; begin India market expansion; digital marketing push.</w:t>
      </w:r>
    </w:p>
    <w:p>
      <w:pPr>
        <w:pStyle w:val="ListBullet"/>
        <w:spacing w:after="40"/>
        <w:ind w:left="283"/>
      </w:pPr>
      <w:r>
        <w:t>Q3 - Scale: end-to-end service launch; Dream Pal community features; corporate partnerships.</w:t>
      </w:r>
    </w:p>
    <w:p>
      <w:pPr>
        <w:pStyle w:val="ListBullet"/>
        <w:spacing w:after="40"/>
        <w:ind w:left="283"/>
      </w:pPr>
      <w:r>
        <w:t>Q4 - Expand: Europe expansion; advanced AI predictions; Series A preparation.</w:t>
      </w:r>
    </w:p>
    <w:p>
      <w:pPr>
        <w:pStyle w:val="ListBullet"/>
        <w:spacing w:after="40"/>
        <w:ind w:left="283"/>
      </w:pPr>
      <w:r>
        <w:t>Targets: 100k+ active users by Q4; launch in India/UAE/UK; 10+ corporate wellness partnerships; AI model v2.0 with 90%+ accuracy; break-even by month 18.</w:t>
      </w:r>
    </w:p>
    <w:p>
      <w:pPr>
        <w:pStyle w:val="Heading2"/>
      </w:pPr>
      <w:r>
        <w:t>14.3 Implementation Risks and Dependencies</w:t>
      </w:r>
    </w:p>
    <w:p>
      <w:pPr>
        <w:pStyle w:val="ListBullet"/>
        <w:spacing w:after="40"/>
        <w:ind w:left="283"/>
      </w:pPr>
      <w:r>
        <w:t>Hiring velocity for ML and mobile engineering roles.</w:t>
      </w:r>
    </w:p>
    <w:p>
      <w:pPr>
        <w:pStyle w:val="ListBullet"/>
        <w:spacing w:after="40"/>
        <w:ind w:left="283"/>
      </w:pPr>
      <w:r>
        <w:t>Data labeling and evaluation system buildout for interpretation quality.</w:t>
      </w:r>
    </w:p>
    <w:p>
      <w:pPr>
        <w:pStyle w:val="ListBullet"/>
        <w:spacing w:after="40"/>
        <w:ind w:left="283"/>
      </w:pPr>
      <w:r>
        <w:t>Community safety tooling and moderation staffing.</w:t>
      </w:r>
    </w:p>
    <w:p>
      <w:pPr>
        <w:pStyle w:val="ListBullet"/>
        <w:spacing w:after="40"/>
        <w:ind w:left="283"/>
      </w:pPr>
      <w:r>
        <w:t>Localization quality for Arabic and Farsi markets.</w:t>
      </w:r>
    </w:p>
    <w:p>
      <w:pPr>
        <w:pStyle w:val="ListBullet"/>
        <w:spacing w:after="40"/>
        <w:ind w:left="283"/>
      </w:pPr>
      <w:r>
        <w:t>Ability to maintain retention as growth accelerates (cohort dilution risk).</w:t>
      </w:r>
    </w:p>
    <w:p>
      <w:pPr>
        <w:pStyle w:val="Heading1"/>
      </w:pPr>
      <w:r>
        <w:t>15. Team, Governance, and Organization</w:t>
      </w:r>
    </w:p>
    <w:p>
      <w:pPr>
        <w:spacing w:after="120"/>
      </w:pPr>
      <w:r>
        <w:rPr>
          <w:b w:val="0"/>
          <w:i w:val="0"/>
        </w:rPr>
        <w:t>DreamBuZZ is led by founder Nuzhat Jahan, combining a corporate law background with a decade-plus research foundation in dream interpretation.</w:t>
      </w:r>
    </w:p>
    <w:p>
      <w:pPr>
        <w:pStyle w:val="Heading2"/>
      </w:pPr>
      <w:r>
        <w:t>15.1 Founder Profile (Company stated)</w:t>
      </w:r>
    </w:p>
    <w:p>
      <w:pPr>
        <w:pStyle w:val="ListBullet"/>
        <w:spacing w:after="40"/>
        <w:ind w:left="283"/>
      </w:pPr>
      <w:r>
        <w:t>Founder &amp; Director: Nuzhat Jahan.</w:t>
      </w:r>
    </w:p>
    <w:p>
      <w:pPr>
        <w:pStyle w:val="ListBullet"/>
        <w:spacing w:after="40"/>
        <w:ind w:left="283"/>
      </w:pPr>
      <w:r>
        <w:t>Corporate law background; 15+ years helping companies scale (Company-stated).</w:t>
      </w:r>
    </w:p>
    <w:p>
      <w:pPr>
        <w:pStyle w:val="ListBullet"/>
        <w:spacing w:after="40"/>
        <w:ind w:left="283"/>
      </w:pPr>
      <w:r>
        <w:t>Published author and keynote speaker; lived/worked in Auckland, London, Mumbai, and Dubai (Company-stated).</w:t>
      </w:r>
    </w:p>
    <w:p>
      <w:pPr>
        <w:pStyle w:val="ListBullet"/>
        <w:spacing w:after="40"/>
        <w:ind w:left="283"/>
      </w:pPr>
      <w:r>
        <w:t>Robust case study base spanning 10+ years; 13+ years of research (Company-stated).</w:t>
      </w:r>
    </w:p>
    <w:p>
      <w:pPr>
        <w:pStyle w:val="Heading2"/>
      </w:pPr>
      <w:r>
        <w:t>15.2 Org Design (Seed Stage)</w:t>
      </w:r>
    </w:p>
    <w:p>
      <w:pPr>
        <w:spacing w:after="120"/>
      </w:pPr>
      <w:r>
        <w:rPr>
          <w:b w:val="0"/>
          <w:i w:val="0"/>
        </w:rPr>
        <w:t>A seed-stage org is typically structured around product delivery and growth learning loops. Illustrative org chart:</w:t>
      </w:r>
    </w:p>
    <w:p>
      <w:pPr>
        <w:pStyle w:val="ListBullet"/>
        <w:spacing w:after="40"/>
        <w:ind w:left="283"/>
      </w:pPr>
      <w:r>
        <w:t>CEO/Founder</w:t>
      </w:r>
    </w:p>
    <w:p>
      <w:pPr>
        <w:pStyle w:val="ListBullet"/>
        <w:spacing w:after="40"/>
        <w:ind w:left="283"/>
      </w:pPr>
      <w:r>
        <w:t>Head of Product (or Product Lead)</w:t>
      </w:r>
    </w:p>
    <w:p>
      <w:pPr>
        <w:pStyle w:val="ListBullet"/>
        <w:spacing w:after="40"/>
        <w:ind w:left="283"/>
      </w:pPr>
      <w:r>
        <w:t>Engineering: Mobile (iOS/Android), Backend, MLOps</w:t>
      </w:r>
    </w:p>
    <w:p>
      <w:pPr>
        <w:pStyle w:val="ListBullet"/>
        <w:spacing w:after="40"/>
        <w:ind w:left="283"/>
      </w:pPr>
      <w:r>
        <w:t>AI/ML: Model engineer, Data engineer, QA/evaluation</w:t>
      </w:r>
    </w:p>
    <w:p>
      <w:pPr>
        <w:pStyle w:val="ListBullet"/>
        <w:spacing w:after="40"/>
        <w:ind w:left="283"/>
      </w:pPr>
      <w:r>
        <w:t>Growth: Performance marketing, lifecycle/CRM, analytics</w:t>
      </w:r>
    </w:p>
    <w:p>
      <w:pPr>
        <w:pStyle w:val="ListBullet"/>
        <w:spacing w:after="40"/>
        <w:ind w:left="283"/>
      </w:pPr>
      <w:r>
        <w:t>Operations: Customer support, community moderation</w:t>
      </w:r>
    </w:p>
    <w:p>
      <w:pPr>
        <w:pStyle w:val="ListBullet"/>
        <w:spacing w:after="40"/>
        <w:ind w:left="283"/>
      </w:pPr>
      <w:r>
        <w:t>Finance/Legal: part-time controller/CFO support and counsel</w:t>
      </w:r>
    </w:p>
    <w:p>
      <w:pPr>
        <w:pStyle w:val="Heading2"/>
      </w:pPr>
      <w:r>
        <w:t>15.3 Governance (Indicative)</w:t>
      </w:r>
    </w:p>
    <w:p>
      <w:pPr>
        <w:pStyle w:val="ListBullet"/>
        <w:spacing w:after="40"/>
        <w:ind w:left="283"/>
      </w:pPr>
      <w:r>
        <w:t>Quarterly investor updates and structured KPI reporting.</w:t>
      </w:r>
    </w:p>
    <w:p>
      <w:pPr>
        <w:pStyle w:val="ListBullet"/>
        <w:spacing w:after="40"/>
        <w:ind w:left="283"/>
      </w:pPr>
      <w:r>
        <w:t>Board observer seat for larger seed investors (indicative).</w:t>
      </w:r>
    </w:p>
    <w:p>
      <w:pPr>
        <w:pStyle w:val="ListBullet"/>
        <w:spacing w:after="40"/>
        <w:ind w:left="283"/>
      </w:pPr>
      <w:r>
        <w:t>Clear approval thresholds for major spend and hiring.</w:t>
      </w:r>
    </w:p>
    <w:p>
      <w:pPr>
        <w:pStyle w:val="ListBullet"/>
        <w:spacing w:after="40"/>
        <w:ind w:left="283"/>
      </w:pPr>
      <w:r>
        <w:t>Security and privacy governance: regular reviews and incident drills.</w:t>
      </w:r>
    </w:p>
    <w:p>
      <w:pPr>
        <w:pStyle w:val="Heading2"/>
      </w:pPr>
      <w:r>
        <w:t>15.4 Advisors (Optional, Recommended)</w:t>
      </w:r>
    </w:p>
    <w:p>
      <w:pPr>
        <w:spacing w:after="120"/>
      </w:pPr>
      <w:r>
        <w:rPr>
          <w:b w:val="0"/>
          <w:i w:val="0"/>
        </w:rPr>
        <w:t>An advisory bench can strengthen execution credibility. Suggested advisor categories:</w:t>
      </w:r>
    </w:p>
    <w:p>
      <w:pPr>
        <w:pStyle w:val="ListBullet"/>
        <w:spacing w:after="40"/>
        <w:ind w:left="283"/>
      </w:pPr>
      <w:r>
        <w:t>Clinical psychologist or mental health professional (for safety posture; non-clinical product positioning).</w:t>
      </w:r>
    </w:p>
    <w:p>
      <w:pPr>
        <w:pStyle w:val="ListBullet"/>
        <w:spacing w:after="40"/>
        <w:ind w:left="283"/>
      </w:pPr>
      <w:r>
        <w:t>Senior ML engineer (model evaluation, safety, and scaling).</w:t>
      </w:r>
    </w:p>
    <w:p>
      <w:pPr>
        <w:pStyle w:val="ListBullet"/>
        <w:spacing w:after="40"/>
        <w:ind w:left="283"/>
      </w:pPr>
      <w:r>
        <w:t>Growth leader with subscription app experience.</w:t>
      </w:r>
    </w:p>
    <w:p>
      <w:pPr>
        <w:pStyle w:val="ListBullet"/>
        <w:spacing w:after="40"/>
        <w:ind w:left="283"/>
      </w:pPr>
      <w:r>
        <w:t>Privacy/compliance specialist familiar with GDPR and cross-border expansion.</w:t>
      </w:r>
    </w:p>
    <w:p>
      <w:pPr>
        <w:pStyle w:val="ListBullet"/>
        <w:spacing w:after="40"/>
        <w:ind w:left="283"/>
      </w:pPr>
      <w:r>
        <w:t>Enterprise wellness sales advisor for B2B ramp.</w:t>
      </w:r>
    </w:p>
    <w:p>
      <w:pPr>
        <w:pStyle w:val="Heading1"/>
      </w:pPr>
      <w:r>
        <w:t>16. Corporate Structure, Capitalization, and Legal</w:t>
      </w:r>
    </w:p>
    <w:p>
      <w:pPr>
        <w:pStyle w:val="Heading2"/>
      </w:pPr>
      <w:r>
        <w:t>16.1 Corporate Structure (Company extract)</w:t>
      </w:r>
    </w:p>
    <w:p>
      <w:pPr>
        <w:spacing w:after="120"/>
      </w:pPr>
      <w:r>
        <w:rPr>
          <w:b w:val="0"/>
          <w:i w:val="0"/>
        </w:rPr>
        <w:t>DreamBuZZ App Limited is a New Zealand limited company with no ultimate holding company (per extract).</w:t>
      </w:r>
    </w:p>
    <w:p>
      <w:pPr>
        <w:pStyle w:val="Heading2"/>
      </w:pPr>
      <w:r>
        <w:t>16.2 Capitalization (Company extract)</w:t>
      </w:r>
    </w:p>
    <w:tbl>
      <w:tblPr>
        <w:tblStyle w:val="TableGrid"/>
        <w:tblW w:type="auto" w:w="0"/>
        <w:jc w:val="center"/>
        <w:tblLook w:firstColumn="1" w:firstRow="1" w:lastColumn="0" w:lastRow="0" w:noHBand="0" w:noVBand="1" w:val="04A0"/>
      </w:tblPr>
      <w:tblGrid>
        <w:gridCol w:w="4986"/>
        <w:gridCol w:w="4986"/>
      </w:tblGrid>
      <w:tr>
        <w:tc>
          <w:tcPr>
            <w:tcW w:type="dxa" w:w="3402"/>
          </w:tcPr>
          <w:p>
            <w:r>
              <w:rPr>
                <w:rFonts w:ascii="Calibri" w:hAnsi="Calibri"/>
                <w:sz w:val="20"/>
              </w:rPr>
              <w:t>Item</w:t>
            </w:r>
          </w:p>
        </w:tc>
        <w:tc>
          <w:tcPr>
            <w:tcW w:type="dxa" w:w="5102"/>
          </w:tcPr>
          <w:p>
            <w:r>
              <w:rPr>
                <w:rFonts w:ascii="Calibri" w:hAnsi="Calibri"/>
                <w:sz w:val="20"/>
              </w:rPr>
              <w:t>Detail</w:t>
            </w:r>
          </w:p>
        </w:tc>
      </w:tr>
      <w:tr>
        <w:tc>
          <w:tcPr>
            <w:tcW w:type="dxa" w:w="3402"/>
          </w:tcPr>
          <w:p>
            <w:r>
              <w:rPr>
                <w:rFonts w:ascii="Calibri" w:hAnsi="Calibri"/>
                <w:sz w:val="20"/>
              </w:rPr>
              <w:t>Ordinary shares outstanding</w:t>
            </w:r>
          </w:p>
        </w:tc>
        <w:tc>
          <w:tcPr>
            <w:tcW w:type="dxa" w:w="5102"/>
          </w:tcPr>
          <w:p>
            <w:r>
              <w:rPr>
                <w:rFonts w:ascii="Calibri" w:hAnsi="Calibri"/>
                <w:sz w:val="20"/>
              </w:rPr>
              <w:t>100</w:t>
            </w:r>
          </w:p>
        </w:tc>
      </w:tr>
      <w:tr>
        <w:tc>
          <w:tcPr>
            <w:tcW w:type="dxa" w:w="3402"/>
          </w:tcPr>
          <w:p>
            <w:r>
              <w:rPr>
                <w:rFonts w:ascii="Calibri" w:hAnsi="Calibri"/>
                <w:sz w:val="20"/>
              </w:rPr>
              <w:t>Shareholder</w:t>
            </w:r>
          </w:p>
        </w:tc>
        <w:tc>
          <w:tcPr>
            <w:tcW w:type="dxa" w:w="5102"/>
          </w:tcPr>
          <w:p>
            <w:r>
              <w:rPr>
                <w:rFonts w:ascii="Calibri" w:hAnsi="Calibri"/>
                <w:sz w:val="20"/>
              </w:rPr>
              <w:t>Nuzhat Jahan (100 shares; 100% ownership)</w:t>
            </w:r>
          </w:p>
        </w:tc>
      </w:tr>
      <w:tr>
        <w:tc>
          <w:tcPr>
            <w:tcW w:type="dxa" w:w="3402"/>
          </w:tcPr>
          <w:p>
            <w:r>
              <w:rPr>
                <w:rFonts w:ascii="Calibri" w:hAnsi="Calibri"/>
                <w:sz w:val="20"/>
              </w:rPr>
              <w:t>Constitution</w:t>
            </w:r>
          </w:p>
        </w:tc>
        <w:tc>
          <w:tcPr>
            <w:tcW w:type="dxa" w:w="5102"/>
          </w:tcPr>
          <w:p>
            <w:r>
              <w:rPr>
                <w:rFonts w:ascii="Calibri" w:hAnsi="Calibri"/>
                <w:sz w:val="20"/>
              </w:rPr>
              <w:t>No constitution filed (per extract)</w:t>
            </w:r>
          </w:p>
        </w:tc>
      </w:tr>
    </w:tbl>
    <w:p/>
    <w:p>
      <w:pPr>
        <w:pStyle w:val="Heading2"/>
      </w:pPr>
      <w:r>
        <w:t>16.3 Key Legal Workstreams for Seed</w:t>
      </w:r>
    </w:p>
    <w:p>
      <w:pPr>
        <w:pStyle w:val="ListBullet"/>
        <w:spacing w:after="40"/>
        <w:ind w:left="283"/>
      </w:pPr>
      <w:r>
        <w:t>Finalize seed instrument and investor rights (SAFE or priced round).</w:t>
      </w:r>
    </w:p>
    <w:p>
      <w:pPr>
        <w:pStyle w:val="ListBullet"/>
        <w:spacing w:after="40"/>
        <w:ind w:left="283"/>
      </w:pPr>
      <w:r>
        <w:t>Adopt constitution (if desired) and/or shareholders’ agreement to govern rights and protections.</w:t>
      </w:r>
    </w:p>
    <w:p>
      <w:pPr>
        <w:pStyle w:val="ListBullet"/>
        <w:spacing w:after="40"/>
        <w:ind w:left="283"/>
      </w:pPr>
      <w:r>
        <w:t>Implement IP assignment agreements and contractor agreements.</w:t>
      </w:r>
    </w:p>
    <w:p>
      <w:pPr>
        <w:pStyle w:val="ListBullet"/>
        <w:spacing w:after="40"/>
        <w:ind w:left="283"/>
      </w:pPr>
      <w:r>
        <w:t>Update privacy policy and terms of service; implement community policies.</w:t>
      </w:r>
    </w:p>
    <w:p>
      <w:pPr>
        <w:pStyle w:val="ListBullet"/>
        <w:spacing w:after="40"/>
        <w:ind w:left="283"/>
      </w:pPr>
      <w:r>
        <w:t>Create an option pool / ESOP framework for hiring (if planned).</w:t>
      </w:r>
    </w:p>
    <w:p>
      <w:pPr>
        <w:pStyle w:val="Heading1"/>
      </w:pPr>
      <w:r>
        <w:t>17. Risk Factors and Mitigation</w:t>
      </w:r>
    </w:p>
    <w:p>
      <w:pPr>
        <w:spacing w:after="120"/>
      </w:pPr>
      <w:r>
        <w:rPr>
          <w:b w:val="0"/>
          <w:i w:val="0"/>
        </w:rPr>
        <w:t>Early-stage investing involves significant risks. The following risk register provides an institutional framing with illustrative mitigations.</w:t>
      </w:r>
    </w:p>
    <w:tbl>
      <w:tblPr>
        <w:tblStyle w:val="TableGrid"/>
        <w:tblW w:type="auto" w:w="0"/>
        <w:jc w:val="center"/>
        <w:tblLook w:firstColumn="1" w:firstRow="1" w:lastColumn="0" w:lastRow="0" w:noHBand="0" w:noVBand="1" w:val="04A0"/>
      </w:tblPr>
      <w:tblGrid>
        <w:gridCol w:w="3324"/>
        <w:gridCol w:w="3324"/>
        <w:gridCol w:w="3324"/>
      </w:tblGrid>
      <w:tr>
        <w:tc>
          <w:tcPr>
            <w:tcW w:type="dxa" w:w="1814"/>
          </w:tcPr>
          <w:p>
            <w:r>
              <w:rPr>
                <w:rFonts w:ascii="Calibri" w:hAnsi="Calibri"/>
                <w:sz w:val="20"/>
              </w:rPr>
              <w:t>Risk category</w:t>
            </w:r>
          </w:p>
        </w:tc>
        <w:tc>
          <w:tcPr>
            <w:tcW w:type="dxa" w:w="3515"/>
          </w:tcPr>
          <w:p>
            <w:r>
              <w:rPr>
                <w:rFonts w:ascii="Calibri" w:hAnsi="Calibri"/>
                <w:sz w:val="20"/>
              </w:rPr>
              <w:t>Description</w:t>
            </w:r>
          </w:p>
        </w:tc>
        <w:tc>
          <w:tcPr>
            <w:tcW w:type="dxa" w:w="3175"/>
          </w:tcPr>
          <w:p>
            <w:r>
              <w:rPr>
                <w:rFonts w:ascii="Calibri" w:hAnsi="Calibri"/>
                <w:sz w:val="20"/>
              </w:rPr>
              <w:t>Mitigation approach (illustrative)</w:t>
            </w:r>
          </w:p>
        </w:tc>
      </w:tr>
      <w:tr>
        <w:tc>
          <w:tcPr>
            <w:tcW w:type="dxa" w:w="1814"/>
          </w:tcPr>
          <w:p>
            <w:r>
              <w:rPr>
                <w:rFonts w:ascii="Calibri" w:hAnsi="Calibri"/>
                <w:sz w:val="20"/>
              </w:rPr>
              <w:t>Product-market fit</w:t>
            </w:r>
          </w:p>
        </w:tc>
        <w:tc>
          <w:tcPr>
            <w:tcW w:type="dxa" w:w="3515"/>
          </w:tcPr>
          <w:p>
            <w:r>
              <w:rPr>
                <w:rFonts w:ascii="Calibri" w:hAnsi="Calibri"/>
                <w:sz w:val="20"/>
              </w:rPr>
              <w:t>Consumers may not pay or sustain usage at scale.</w:t>
            </w:r>
          </w:p>
        </w:tc>
        <w:tc>
          <w:tcPr>
            <w:tcW w:type="dxa" w:w="3175"/>
          </w:tcPr>
          <w:p>
            <w:r>
              <w:rPr>
                <w:rFonts w:ascii="Calibri" w:hAnsi="Calibri"/>
                <w:sz w:val="20"/>
              </w:rPr>
              <w:t>Iterate on onboarding; focus retention and outcomes; run controlled experiments.</w:t>
            </w:r>
          </w:p>
        </w:tc>
      </w:tr>
      <w:tr>
        <w:tc>
          <w:tcPr>
            <w:tcW w:type="dxa" w:w="1814"/>
          </w:tcPr>
          <w:p>
            <w:r>
              <w:rPr>
                <w:rFonts w:ascii="Calibri" w:hAnsi="Calibri"/>
                <w:sz w:val="20"/>
              </w:rPr>
              <w:t>Model quality and trust</w:t>
            </w:r>
          </w:p>
        </w:tc>
        <w:tc>
          <w:tcPr>
            <w:tcW w:type="dxa" w:w="3515"/>
          </w:tcPr>
          <w:p>
            <w:r>
              <w:rPr>
                <w:rFonts w:ascii="Calibri" w:hAnsi="Calibri"/>
                <w:sz w:val="20"/>
              </w:rPr>
              <w:t>Interpretations may be inaccurate, inconsistent, or unsafe.</w:t>
            </w:r>
          </w:p>
        </w:tc>
        <w:tc>
          <w:tcPr>
            <w:tcW w:type="dxa" w:w="3175"/>
          </w:tcPr>
          <w:p>
            <w:r>
              <w:rPr>
                <w:rFonts w:ascii="Calibri" w:hAnsi="Calibri"/>
                <w:sz w:val="20"/>
              </w:rPr>
              <w:t>Evaluation harness; human QA; guardrails; feedback loops; transparent disclaimers.</w:t>
            </w:r>
          </w:p>
        </w:tc>
      </w:tr>
      <w:tr>
        <w:tc>
          <w:tcPr>
            <w:tcW w:type="dxa" w:w="1814"/>
          </w:tcPr>
          <w:p>
            <w:r>
              <w:rPr>
                <w:rFonts w:ascii="Calibri" w:hAnsi="Calibri"/>
                <w:sz w:val="20"/>
              </w:rPr>
              <w:t>Regulatory and claims risk</w:t>
            </w:r>
          </w:p>
        </w:tc>
        <w:tc>
          <w:tcPr>
            <w:tcW w:type="dxa" w:w="3515"/>
          </w:tcPr>
          <w:p>
            <w:r>
              <w:rPr>
                <w:rFonts w:ascii="Calibri" w:hAnsi="Calibri"/>
                <w:sz w:val="20"/>
              </w:rPr>
              <w:t>Wellness claims could be treated as clinical claims if not managed.</w:t>
            </w:r>
          </w:p>
        </w:tc>
        <w:tc>
          <w:tcPr>
            <w:tcW w:type="dxa" w:w="3175"/>
          </w:tcPr>
          <w:p>
            <w:r>
              <w:rPr>
                <w:rFonts w:ascii="Calibri" w:hAnsi="Calibri"/>
                <w:sz w:val="20"/>
              </w:rPr>
              <w:t>Legal review; avoid medical claims; crisis guidance; careful marketing copy.</w:t>
            </w:r>
          </w:p>
        </w:tc>
      </w:tr>
      <w:tr>
        <w:tc>
          <w:tcPr>
            <w:tcW w:type="dxa" w:w="1814"/>
          </w:tcPr>
          <w:p>
            <w:r>
              <w:rPr>
                <w:rFonts w:ascii="Calibri" w:hAnsi="Calibri"/>
                <w:sz w:val="20"/>
              </w:rPr>
              <w:t>Privacy and security</w:t>
            </w:r>
          </w:p>
        </w:tc>
        <w:tc>
          <w:tcPr>
            <w:tcW w:type="dxa" w:w="3515"/>
          </w:tcPr>
          <w:p>
            <w:r>
              <w:rPr>
                <w:rFonts w:ascii="Calibri" w:hAnsi="Calibri"/>
                <w:sz w:val="20"/>
              </w:rPr>
              <w:t>Sensitive dream data increases reputational and legal risk.</w:t>
            </w:r>
          </w:p>
        </w:tc>
        <w:tc>
          <w:tcPr>
            <w:tcW w:type="dxa" w:w="3175"/>
          </w:tcPr>
          <w:p>
            <w:r>
              <w:rPr>
                <w:rFonts w:ascii="Calibri" w:hAnsi="Calibri"/>
                <w:sz w:val="20"/>
              </w:rPr>
              <w:t>Privacy-by-design; encryption; access controls; incident response; audits.</w:t>
            </w:r>
          </w:p>
        </w:tc>
      </w:tr>
      <w:tr>
        <w:tc>
          <w:tcPr>
            <w:tcW w:type="dxa" w:w="1814"/>
          </w:tcPr>
          <w:p>
            <w:r>
              <w:rPr>
                <w:rFonts w:ascii="Calibri" w:hAnsi="Calibri"/>
                <w:sz w:val="20"/>
              </w:rPr>
              <w:t>Community moderation</w:t>
            </w:r>
          </w:p>
        </w:tc>
        <w:tc>
          <w:tcPr>
            <w:tcW w:type="dxa" w:w="3515"/>
          </w:tcPr>
          <w:p>
            <w:r>
              <w:rPr>
                <w:rFonts w:ascii="Calibri" w:hAnsi="Calibri"/>
                <w:sz w:val="20"/>
              </w:rPr>
              <w:t>User-generated content may create safety risks.</w:t>
            </w:r>
          </w:p>
        </w:tc>
        <w:tc>
          <w:tcPr>
            <w:tcW w:type="dxa" w:w="3175"/>
          </w:tcPr>
          <w:p>
            <w:r>
              <w:rPr>
                <w:rFonts w:ascii="Calibri" w:hAnsi="Calibri"/>
                <w:sz w:val="20"/>
              </w:rPr>
              <w:t>Moderation policies; reporting; automated detection; trained moderators.</w:t>
            </w:r>
          </w:p>
        </w:tc>
      </w:tr>
      <w:tr>
        <w:tc>
          <w:tcPr>
            <w:tcW w:type="dxa" w:w="1814"/>
          </w:tcPr>
          <w:p>
            <w:r>
              <w:rPr>
                <w:rFonts w:ascii="Calibri" w:hAnsi="Calibri"/>
                <w:sz w:val="20"/>
              </w:rPr>
              <w:t>Execution / hiring</w:t>
            </w:r>
          </w:p>
        </w:tc>
        <w:tc>
          <w:tcPr>
            <w:tcW w:type="dxa" w:w="3515"/>
          </w:tcPr>
          <w:p>
            <w:r>
              <w:rPr>
                <w:rFonts w:ascii="Calibri" w:hAnsi="Calibri"/>
                <w:sz w:val="20"/>
              </w:rPr>
              <w:t>Difficulty recruiting key roles; founder dependency.</w:t>
            </w:r>
          </w:p>
        </w:tc>
        <w:tc>
          <w:tcPr>
            <w:tcW w:type="dxa" w:w="3175"/>
          </w:tcPr>
          <w:p>
            <w:r>
              <w:rPr>
                <w:rFonts w:ascii="Calibri" w:hAnsi="Calibri"/>
                <w:sz w:val="20"/>
              </w:rPr>
              <w:t>Hiring plan; advisors; strong documentation and processes.</w:t>
            </w:r>
          </w:p>
        </w:tc>
      </w:tr>
      <w:tr>
        <w:tc>
          <w:tcPr>
            <w:tcW w:type="dxa" w:w="1814"/>
          </w:tcPr>
          <w:p>
            <w:r>
              <w:rPr>
                <w:rFonts w:ascii="Calibri" w:hAnsi="Calibri"/>
                <w:sz w:val="20"/>
              </w:rPr>
              <w:t>Competition</w:t>
            </w:r>
          </w:p>
        </w:tc>
        <w:tc>
          <w:tcPr>
            <w:tcW w:type="dxa" w:w="3515"/>
          </w:tcPr>
          <w:p>
            <w:r>
              <w:rPr>
                <w:rFonts w:ascii="Calibri" w:hAnsi="Calibri"/>
                <w:sz w:val="20"/>
              </w:rPr>
              <w:t>Large apps could add dream interpretation features.</w:t>
            </w:r>
          </w:p>
        </w:tc>
        <w:tc>
          <w:tcPr>
            <w:tcW w:type="dxa" w:w="3175"/>
          </w:tcPr>
          <w:p>
            <w:r>
              <w:rPr>
                <w:rFonts w:ascii="Calibri" w:hAnsi="Calibri"/>
                <w:sz w:val="20"/>
              </w:rPr>
              <w:t>Differentiate via data quality, community effects, brand, and multilingual focus.</w:t>
            </w:r>
          </w:p>
        </w:tc>
      </w:tr>
      <w:tr>
        <w:tc>
          <w:tcPr>
            <w:tcW w:type="dxa" w:w="1814"/>
          </w:tcPr>
          <w:p>
            <w:r>
              <w:rPr>
                <w:rFonts w:ascii="Calibri" w:hAnsi="Calibri"/>
                <w:sz w:val="20"/>
              </w:rPr>
              <w:t>Prediction feature risk</w:t>
            </w:r>
          </w:p>
        </w:tc>
        <w:tc>
          <w:tcPr>
            <w:tcW w:type="dxa" w:w="3515"/>
          </w:tcPr>
          <w:p>
            <w:r>
              <w:rPr>
                <w:rFonts w:ascii="Calibri" w:hAnsi="Calibri"/>
                <w:sz w:val="20"/>
              </w:rPr>
              <w:t>Dream-based forecasting could be controversial.</w:t>
            </w:r>
          </w:p>
        </w:tc>
        <w:tc>
          <w:tcPr>
            <w:tcW w:type="dxa" w:w="3175"/>
          </w:tcPr>
          <w:p>
            <w:r>
              <w:rPr>
                <w:rFonts w:ascii="Calibri" w:hAnsi="Calibri"/>
                <w:sz w:val="20"/>
              </w:rPr>
              <w:t>Treat as research; anonymize; publish limitations; avoid determinism.</w:t>
            </w:r>
          </w:p>
        </w:tc>
      </w:tr>
      <w:tr>
        <w:tc>
          <w:tcPr>
            <w:tcW w:type="dxa" w:w="1814"/>
          </w:tcPr>
          <w:p>
            <w:r>
              <w:rPr>
                <w:rFonts w:ascii="Calibri" w:hAnsi="Calibri"/>
                <w:sz w:val="20"/>
              </w:rPr>
              <w:t>Financial risk</w:t>
            </w:r>
          </w:p>
        </w:tc>
        <w:tc>
          <w:tcPr>
            <w:tcW w:type="dxa" w:w="3515"/>
          </w:tcPr>
          <w:p>
            <w:r>
              <w:rPr>
                <w:rFonts w:ascii="Calibri" w:hAnsi="Calibri"/>
                <w:sz w:val="20"/>
              </w:rPr>
              <w:t>Burn rate and runway may vary from plan.</w:t>
            </w:r>
          </w:p>
        </w:tc>
        <w:tc>
          <w:tcPr>
            <w:tcW w:type="dxa" w:w="3175"/>
          </w:tcPr>
          <w:p>
            <w:r>
              <w:rPr>
                <w:rFonts w:ascii="Calibri" w:hAnsi="Calibri"/>
                <w:sz w:val="20"/>
              </w:rPr>
              <w:t>Budget discipline; monthly runway reporting; triggers for spend adjustments.</w:t>
            </w:r>
          </w:p>
        </w:tc>
      </w:tr>
    </w:tbl>
    <w:p/>
    <w:p>
      <w:pPr>
        <w:pStyle w:val="Heading1"/>
      </w:pPr>
      <w:r>
        <w:t>18. Exit Considerations</w:t>
      </w:r>
    </w:p>
    <w:p>
      <w:pPr>
        <w:spacing w:after="120"/>
      </w:pPr>
      <w:r>
        <w:rPr>
          <w:b w:val="0"/>
          <w:i w:val="0"/>
        </w:rPr>
        <w:t>Potential exit pathways include strategic acquisition by wellness platforms, content/community platforms, or enterprise wellness providers, or later-stage growth financing leading toward an IPO in the long term.</w:t>
      </w:r>
    </w:p>
    <w:p>
      <w:pPr>
        <w:spacing w:after="120"/>
      </w:pPr>
      <w:r>
        <w:rPr>
          <w:b w:val="0"/>
          <w:i w:val="0"/>
        </w:rPr>
        <w:t>Exit outcomes are typically driven by: recurring revenue scale, gross margin and operating leverage, durable retention economics, defensibility (data/community/brand), and product expansion into adjacent categories.</w:t>
      </w:r>
    </w:p>
    <w:p>
      <w:r>
        <w:br w:type="page"/>
      </w:r>
    </w:p>
    <w:p>
      <w:pPr>
        <w:pStyle w:val="Heading1"/>
      </w:pPr>
      <w:r>
        <w:t>Appendix A: Corporate Documents and Data Room Index</w:t>
      </w:r>
    </w:p>
    <w:p>
      <w:pPr>
        <w:spacing w:after="120"/>
      </w:pPr>
      <w:r>
        <w:rPr>
          <w:b w:val="0"/>
          <w:i w:val="0"/>
        </w:rPr>
        <w:t>Company-provided documents (included):</w:t>
      </w:r>
    </w:p>
    <w:p>
      <w:pPr>
        <w:pStyle w:val="ListBullet"/>
        <w:spacing w:after="40"/>
        <w:ind w:left="283"/>
      </w:pPr>
      <w:r>
        <w:t>Certificate of Incorporation - DREAMBUZZ APP LIMITED (NZ).</w:t>
      </w:r>
    </w:p>
    <w:p>
      <w:pPr>
        <w:pStyle w:val="ListBullet"/>
        <w:spacing w:after="40"/>
        <w:ind w:left="283"/>
      </w:pPr>
      <w:r>
        <w:t>Company Extract - DREAMBUZZ APP LIMITED (NZ Companies Office).</w:t>
      </w:r>
    </w:p>
    <w:p>
      <w:pPr>
        <w:pStyle w:val="ListBullet"/>
        <w:spacing w:after="40"/>
        <w:ind w:left="283"/>
      </w:pPr>
      <w:r>
        <w:t>Investor Pitch Deck - Series Seed 2026.</w:t>
      </w:r>
    </w:p>
    <w:p>
      <w:pPr>
        <w:spacing w:after="120"/>
      </w:pPr>
      <w:r>
        <w:rPr>
          <w:b w:val="0"/>
          <w:i w:val="0"/>
        </w:rPr>
        <w:t>Recommended data room index (template):</w:t>
      </w:r>
    </w:p>
    <w:p>
      <w:pPr>
        <w:pStyle w:val="ListBullet"/>
        <w:spacing w:after="40"/>
        <w:ind w:left="283"/>
      </w:pPr>
      <w:r>
        <w:t>01 Corporate: cap table, share register, prior financings, board minutes, consents.</w:t>
      </w:r>
    </w:p>
    <w:p>
      <w:pPr>
        <w:pStyle w:val="ListBullet"/>
        <w:spacing w:after="40"/>
        <w:ind w:left="283"/>
      </w:pPr>
      <w:r>
        <w:t>02 Legal: seed term sheet, SAFE/priced docs, privacy policy, terms of service, customer contracts.</w:t>
      </w:r>
    </w:p>
    <w:p>
      <w:pPr>
        <w:pStyle w:val="ListBullet"/>
        <w:spacing w:after="40"/>
        <w:ind w:left="283"/>
      </w:pPr>
      <w:r>
        <w:t>03 IP: assignments, trademarks, domains, content rights, open-source policy.</w:t>
      </w:r>
    </w:p>
    <w:p>
      <w:pPr>
        <w:pStyle w:val="ListBullet"/>
        <w:spacing w:after="40"/>
        <w:ind w:left="283"/>
      </w:pPr>
      <w:r>
        <w:t>04 Product/Tech: architecture, security overview, MLOps, model evaluation, roadmap.</w:t>
      </w:r>
    </w:p>
    <w:p>
      <w:pPr>
        <w:pStyle w:val="ListBullet"/>
        <w:spacing w:after="40"/>
        <w:ind w:left="283"/>
      </w:pPr>
      <w:r>
        <w:t>05 Commercial: pricing, funnel metrics, cohorts, app store analytics, customer surveys.</w:t>
      </w:r>
    </w:p>
    <w:p>
      <w:pPr>
        <w:pStyle w:val="ListBullet"/>
        <w:spacing w:after="40"/>
        <w:ind w:left="283"/>
      </w:pPr>
      <w:r>
        <w:t>06 Financial: historical P&amp;L (if any), burn/runway, budgets, 3-5 year model and assumptions.</w:t>
      </w:r>
    </w:p>
    <w:p>
      <w:pPr>
        <w:pStyle w:val="ListBullet"/>
        <w:spacing w:after="40"/>
        <w:ind w:left="283"/>
      </w:pPr>
      <w:r>
        <w:t>07 People: org chart, key hires, employment templates, contractor agreements.</w:t>
      </w:r>
    </w:p>
    <w:p>
      <w:pPr>
        <w:pStyle w:val="ListBullet"/>
        <w:spacing w:after="40"/>
        <w:ind w:left="283"/>
      </w:pPr>
      <w:r>
        <w:t>08 Compliance/Safety: moderation policy, incident logs, crisis routing, data retention policy.</w:t>
      </w:r>
    </w:p>
    <w:p>
      <w:pPr>
        <w:pStyle w:val="Heading1"/>
      </w:pPr>
      <w:r>
        <w:t>Appendix B: KPI Definitions and Investor Reporting Pack (Template)</w:t>
      </w:r>
    </w:p>
    <w:p>
      <w:pPr>
        <w:spacing w:after="120"/>
      </w:pPr>
      <w:r>
        <w:rPr>
          <w:b w:val="0"/>
          <w:i w:val="0"/>
        </w:rPr>
        <w:t>Monthly update template:</w:t>
      </w:r>
    </w:p>
    <w:p>
      <w:pPr>
        <w:pStyle w:val="ListNumber"/>
        <w:spacing w:after="40"/>
      </w:pPr>
      <w:r>
        <w:t>1) Executive summary: wins, risks, and asks.</w:t>
      </w:r>
    </w:p>
    <w:p>
      <w:pPr>
        <w:pStyle w:val="ListNumber"/>
        <w:spacing w:after="40"/>
      </w:pPr>
      <w:r>
        <w:t>2) Product: shipped, roadmap, quality and safety metrics.</w:t>
      </w:r>
    </w:p>
    <w:p>
      <w:pPr>
        <w:pStyle w:val="ListNumber"/>
        <w:spacing w:after="40"/>
      </w:pPr>
      <w:r>
        <w:t>3) Growth: acquisition performance, CAC, funnels, experiments.</w:t>
      </w:r>
    </w:p>
    <w:p>
      <w:pPr>
        <w:pStyle w:val="ListNumber"/>
        <w:spacing w:after="40"/>
      </w:pPr>
      <w:r>
        <w:t>4) Engagement: WAU/MAU, submissions per user, Dream Pal activity, meditation minutes.</w:t>
      </w:r>
    </w:p>
    <w:p>
      <w:pPr>
        <w:pStyle w:val="ListNumber"/>
        <w:spacing w:after="40"/>
      </w:pPr>
      <w:r>
        <w:t>5) Retention: cohort tables, churn reasons, win-back.</w:t>
      </w:r>
    </w:p>
    <w:p>
      <w:pPr>
        <w:pStyle w:val="ListNumber"/>
        <w:spacing w:after="40"/>
      </w:pPr>
      <w:r>
        <w:t>6) Monetization: MRR, paid conversion, ARPU, refunds, expansion revenue (if B2B).</w:t>
      </w:r>
    </w:p>
    <w:p>
      <w:pPr>
        <w:pStyle w:val="ListNumber"/>
        <w:spacing w:after="40"/>
      </w:pPr>
      <w:r>
        <w:t>7) B2B: pipeline, pilots, conversion, renewals.</w:t>
      </w:r>
    </w:p>
    <w:p>
      <w:pPr>
        <w:pStyle w:val="ListNumber"/>
        <w:spacing w:after="40"/>
      </w:pPr>
      <w:r>
        <w:t>8) Finance: burn, runway, headcount, variance vs budget.</w:t>
      </w:r>
    </w:p>
    <w:p>
      <w:pPr>
        <w:pStyle w:val="ListNumber"/>
        <w:spacing w:after="40"/>
      </w:pPr>
      <w:r>
        <w:t>9) Compliance &amp; security: notable updates and incidents.</w:t>
      </w:r>
    </w:p>
    <w:p>
      <w:pPr>
        <w:pStyle w:val="Heading1"/>
      </w:pPr>
      <w:r>
        <w:t>Appendix C: Diligence Checklist (Seed Round)</w:t>
      </w:r>
    </w:p>
    <w:p>
      <w:pPr>
        <w:pStyle w:val="ListBullet"/>
        <w:spacing w:after="40"/>
        <w:ind w:left="283"/>
      </w:pPr>
      <w:r>
        <w:t>Corporate: incorporation docs, cap table, ESOP/option pool plan, prior financings.</w:t>
      </w:r>
    </w:p>
    <w:p>
      <w:pPr>
        <w:pStyle w:val="ListBullet"/>
        <w:spacing w:after="40"/>
        <w:ind w:left="283"/>
      </w:pPr>
      <w:r>
        <w:t>IP: assignments from founders/contractors; trademarks; domain control; content rights.</w:t>
      </w:r>
    </w:p>
    <w:p>
      <w:pPr>
        <w:pStyle w:val="ListBullet"/>
        <w:spacing w:after="40"/>
        <w:ind w:left="283"/>
      </w:pPr>
      <w:r>
        <w:t>Product/Tech: architecture, data flows, security posture, model eval process, roadmap.</w:t>
      </w:r>
    </w:p>
    <w:p>
      <w:pPr>
        <w:pStyle w:val="ListBullet"/>
        <w:spacing w:after="40"/>
        <w:ind w:left="283"/>
      </w:pPr>
      <w:r>
        <w:t>Commercial: cohorts, retention, CAC by channel, paid conversion, pricing tests.</w:t>
      </w:r>
    </w:p>
    <w:p>
      <w:pPr>
        <w:pStyle w:val="ListBullet"/>
        <w:spacing w:after="40"/>
        <w:ind w:left="283"/>
      </w:pPr>
      <w:r>
        <w:t>Financial: cash, burn, budget, model assumptions, unit economics details.</w:t>
      </w:r>
    </w:p>
    <w:p>
      <w:pPr>
        <w:pStyle w:val="ListBullet"/>
        <w:spacing w:after="40"/>
        <w:ind w:left="283"/>
      </w:pPr>
      <w:r>
        <w:t>Legal/Compliance: privacy/terms, moderation policies, consumer law alignment, insurance.</w:t>
      </w:r>
    </w:p>
    <w:p>
      <w:pPr>
        <w:pStyle w:val="ListBullet"/>
        <w:spacing w:after="40"/>
        <w:ind w:left="283"/>
      </w:pPr>
      <w:r>
        <w:t>People: hiring plan, key employee agreements, references.</w:t>
      </w:r>
    </w:p>
    <w:p>
      <w:pPr>
        <w:pStyle w:val="Heading1"/>
      </w:pPr>
      <w:r>
        <w:t>Appendix D: Draft Term Sheet Outline (Template)</w:t>
      </w:r>
    </w:p>
    <w:p>
      <w:pPr>
        <w:spacing w:after="120"/>
      </w:pPr>
      <w:r>
        <w:rPr>
          <w:b w:val="0"/>
          <w:i w:val="0"/>
        </w:rPr>
        <w:t>This is a non-binding outline for discussion only (illustrative).</w:t>
      </w:r>
    </w:p>
    <w:p>
      <w:pPr>
        <w:pStyle w:val="ListBullet"/>
        <w:spacing w:after="40"/>
        <w:ind w:left="283"/>
      </w:pPr>
      <w:r>
        <w:t>Instrument: SAFE or preferred equity (seed).</w:t>
      </w:r>
    </w:p>
    <w:p>
      <w:pPr>
        <w:pStyle w:val="ListBullet"/>
        <w:spacing w:after="40"/>
        <w:ind w:left="283"/>
      </w:pPr>
      <w:r>
        <w:t>Valuation: pre-money valuation / valuation cap (as applicable).</w:t>
      </w:r>
    </w:p>
    <w:p>
      <w:pPr>
        <w:pStyle w:val="ListBullet"/>
        <w:spacing w:after="40"/>
        <w:ind w:left="283"/>
      </w:pPr>
      <w:r>
        <w:t>Discount: SAFE discount (if applicable).</w:t>
      </w:r>
    </w:p>
    <w:p>
      <w:pPr>
        <w:pStyle w:val="ListBullet"/>
        <w:spacing w:after="40"/>
        <w:ind w:left="283"/>
      </w:pPr>
      <w:r>
        <w:t>MFN: optional MFN clause for early SAFE investors.</w:t>
      </w:r>
    </w:p>
    <w:p>
      <w:pPr>
        <w:pStyle w:val="ListBullet"/>
        <w:spacing w:after="40"/>
        <w:ind w:left="283"/>
      </w:pPr>
      <w:r>
        <w:t>Pro-rata rights: participation right in next equity round.</w:t>
      </w:r>
    </w:p>
    <w:p>
      <w:pPr>
        <w:pStyle w:val="ListBullet"/>
        <w:spacing w:after="40"/>
        <w:ind w:left="283"/>
      </w:pPr>
      <w:r>
        <w:t>Information rights: quarterly updates; annual budget (optional).</w:t>
      </w:r>
    </w:p>
    <w:p>
      <w:pPr>
        <w:pStyle w:val="ListBullet"/>
        <w:spacing w:after="40"/>
        <w:ind w:left="283"/>
      </w:pPr>
      <w:r>
        <w:t>Governance: observer seat threshold; protective provisions (if priced).</w:t>
      </w:r>
    </w:p>
    <w:p>
      <w:pPr>
        <w:pStyle w:val="ListBullet"/>
        <w:spacing w:after="40"/>
        <w:ind w:left="283"/>
      </w:pPr>
      <w:r>
        <w:t>Founder vesting: optional (investor dependent).</w:t>
      </w:r>
    </w:p>
    <w:p>
      <w:pPr>
        <w:pStyle w:val="ListBullet"/>
        <w:spacing w:after="40"/>
        <w:ind w:left="283"/>
      </w:pPr>
      <w:r>
        <w:t>ESOP: creation/refresh of option pool (size to be agreed).</w:t>
      </w:r>
    </w:p>
    <w:p>
      <w:pPr>
        <w:pStyle w:val="ListBullet"/>
        <w:spacing w:after="40"/>
        <w:ind w:left="283"/>
      </w:pPr>
      <w:r>
        <w:t>Use of proceeds covenant: alignment with roadmap and budget reporting.</w:t>
      </w:r>
    </w:p>
    <w:p>
      <w:pPr>
        <w:pStyle w:val="Heading1"/>
      </w:pPr>
      <w:r>
        <w:t>Appendix E: Glossary of Terms</w:t>
      </w:r>
    </w:p>
    <w:p>
      <w:pPr>
        <w:pStyle w:val="ListBullet"/>
        <w:spacing w:after="40"/>
        <w:ind w:left="283"/>
      </w:pPr>
      <w:r>
        <w:t>CAC: Customer Acquisition Cost.</w:t>
      </w:r>
    </w:p>
    <w:p>
      <w:pPr>
        <w:pStyle w:val="ListBullet"/>
        <w:spacing w:after="40"/>
        <w:ind w:left="283"/>
      </w:pPr>
      <w:r>
        <w:t>LTV: Lifetime Value.</w:t>
      </w:r>
    </w:p>
    <w:p>
      <w:pPr>
        <w:pStyle w:val="ListBullet"/>
        <w:spacing w:after="40"/>
        <w:ind w:left="283"/>
      </w:pPr>
      <w:r>
        <w:t>ARPU/ARPPU: Average Revenue Per User / Per Paying User.</w:t>
      </w:r>
    </w:p>
    <w:p>
      <w:pPr>
        <w:pStyle w:val="ListBullet"/>
        <w:spacing w:after="40"/>
        <w:ind w:left="283"/>
      </w:pPr>
      <w:r>
        <w:t>MRR: Monthly Recurring Revenue.</w:t>
      </w:r>
    </w:p>
    <w:p>
      <w:pPr>
        <w:pStyle w:val="ListBullet"/>
        <w:spacing w:after="40"/>
        <w:ind w:left="283"/>
      </w:pPr>
      <w:r>
        <w:t>WAU/MAU: Weekly/Monthly Active Users.</w:t>
      </w:r>
    </w:p>
    <w:p>
      <w:pPr>
        <w:pStyle w:val="ListBullet"/>
        <w:spacing w:after="40"/>
        <w:ind w:left="283"/>
      </w:pPr>
      <w:r>
        <w:t>Churn: percentage of paying users who cancel in a period.</w:t>
      </w:r>
    </w:p>
    <w:p>
      <w:pPr>
        <w:pStyle w:val="ListBullet"/>
        <w:spacing w:after="40"/>
        <w:ind w:left="283"/>
      </w:pPr>
      <w:r>
        <w:t>Cohort: group of users acquired in the same period used for retention analysis.</w:t>
      </w:r>
    </w:p>
    <w:p>
      <w:pPr>
        <w:pStyle w:val="ListBullet"/>
        <w:spacing w:after="40"/>
        <w:ind w:left="283"/>
      </w:pPr>
      <w:r>
        <w:t>SAFE: Simple Agreement for Future Equity.</w:t>
      </w:r>
    </w:p>
    <w:p>
      <w:pPr>
        <w:pStyle w:val="ListBullet"/>
        <w:spacing w:after="40"/>
        <w:ind w:left="283"/>
      </w:pPr>
      <w:r>
        <w:t>ESOP: Employee Share/Stock Option Plan.</w:t>
      </w:r>
    </w:p>
    <w:p>
      <w:pPr>
        <w:pStyle w:val="Heading1"/>
      </w:pPr>
      <w:r>
        <w:t>Appendix F: Investor Q&amp;A (Common Questions)</w:t>
      </w:r>
    </w:p>
    <w:p>
      <w:pPr>
        <w:spacing w:after="120"/>
      </w:pPr>
      <w:r>
        <w:rPr>
          <w:b w:val="0"/>
          <w:i w:val="0"/>
        </w:rPr>
        <w:t>Below is a set of common investor questions with the recommended evidence to provide in diligence.</w:t>
      </w:r>
    </w:p>
    <w:tbl>
      <w:tblPr>
        <w:tblStyle w:val="TableGrid"/>
        <w:tblW w:type="auto" w:w="0"/>
        <w:jc w:val="center"/>
        <w:tblLook w:firstColumn="1" w:firstRow="1" w:lastColumn="0" w:lastRow="0" w:noHBand="0" w:noVBand="1" w:val="04A0"/>
      </w:tblPr>
      <w:tblGrid>
        <w:gridCol w:w="4986"/>
        <w:gridCol w:w="4986"/>
      </w:tblGrid>
      <w:tr>
        <w:tc>
          <w:tcPr>
            <w:tcW w:type="dxa" w:w="3402"/>
          </w:tcPr>
          <w:p>
            <w:r>
              <w:rPr>
                <w:rFonts w:ascii="Calibri" w:hAnsi="Calibri"/>
                <w:sz w:val="20"/>
              </w:rPr>
              <w:t>Question</w:t>
            </w:r>
          </w:p>
        </w:tc>
        <w:tc>
          <w:tcPr>
            <w:tcW w:type="dxa" w:w="5102"/>
          </w:tcPr>
          <w:p>
            <w:r>
              <w:rPr>
                <w:rFonts w:ascii="Calibri" w:hAnsi="Calibri"/>
                <w:sz w:val="20"/>
              </w:rPr>
              <w:t>Evidence / data requested</w:t>
            </w:r>
          </w:p>
        </w:tc>
      </w:tr>
      <w:tr>
        <w:tc>
          <w:tcPr>
            <w:tcW w:type="dxa" w:w="3402"/>
          </w:tcPr>
          <w:p>
            <w:r>
              <w:rPr>
                <w:rFonts w:ascii="Calibri" w:hAnsi="Calibri"/>
                <w:sz w:val="20"/>
              </w:rPr>
              <w:t>Is 80% retention measured on D30, subscription retention, or another definition?</w:t>
            </w:r>
          </w:p>
        </w:tc>
        <w:tc>
          <w:tcPr>
            <w:tcW w:type="dxa" w:w="5102"/>
          </w:tcPr>
          <w:p>
            <w:r>
              <w:rPr>
                <w:rFonts w:ascii="Calibri" w:hAnsi="Calibri"/>
                <w:sz w:val="20"/>
              </w:rPr>
              <w:t>Cohort tables (D7/D30/Month 3+), churn definition, and paid vs free split.</w:t>
            </w:r>
          </w:p>
        </w:tc>
      </w:tr>
      <w:tr>
        <w:tc>
          <w:tcPr>
            <w:tcW w:type="dxa" w:w="3402"/>
          </w:tcPr>
          <w:p>
            <w:r>
              <w:rPr>
                <w:rFonts w:ascii="Calibri" w:hAnsi="Calibri"/>
                <w:sz w:val="20"/>
              </w:rPr>
              <w:t>What is interpretation quality and how is it evaluated?</w:t>
            </w:r>
          </w:p>
        </w:tc>
        <w:tc>
          <w:tcPr>
            <w:tcW w:type="dxa" w:w="5102"/>
          </w:tcPr>
          <w:p>
            <w:r>
              <w:rPr>
                <w:rFonts w:ascii="Calibri" w:hAnsi="Calibri"/>
                <w:sz w:val="20"/>
              </w:rPr>
              <w:t>CSAT on reports, qualitative user feedback, evaluation harness results, safety metrics.</w:t>
            </w:r>
          </w:p>
        </w:tc>
      </w:tr>
      <w:tr>
        <w:tc>
          <w:tcPr>
            <w:tcW w:type="dxa" w:w="3402"/>
          </w:tcPr>
          <w:p>
            <w:r>
              <w:rPr>
                <w:rFonts w:ascii="Calibri" w:hAnsi="Calibri"/>
                <w:sz w:val="20"/>
              </w:rPr>
              <w:t>What is the CAC by channel and payback period?</w:t>
            </w:r>
          </w:p>
        </w:tc>
        <w:tc>
          <w:tcPr>
            <w:tcW w:type="dxa" w:w="5102"/>
          </w:tcPr>
          <w:p>
            <w:r>
              <w:rPr>
                <w:rFonts w:ascii="Calibri" w:hAnsi="Calibri"/>
                <w:sz w:val="20"/>
              </w:rPr>
              <w:t>Channel-level CAC, paid conversion, gross margin, CAC payback analysis.</w:t>
            </w:r>
          </w:p>
        </w:tc>
      </w:tr>
      <w:tr>
        <w:tc>
          <w:tcPr>
            <w:tcW w:type="dxa" w:w="3402"/>
          </w:tcPr>
          <w:p>
            <w:r>
              <w:rPr>
                <w:rFonts w:ascii="Calibri" w:hAnsi="Calibri"/>
                <w:sz w:val="20"/>
              </w:rPr>
              <w:t>How does Dream Pal drive retention?</w:t>
            </w:r>
          </w:p>
        </w:tc>
        <w:tc>
          <w:tcPr>
            <w:tcW w:type="dxa" w:w="5102"/>
          </w:tcPr>
          <w:p>
            <w:r>
              <w:rPr>
                <w:rFonts w:ascii="Calibri" w:hAnsi="Calibri"/>
                <w:sz w:val="20"/>
              </w:rPr>
              <w:t>Experiment results showing retention uplift for users who use matching/community vs those who do not.</w:t>
            </w:r>
          </w:p>
        </w:tc>
      </w:tr>
      <w:tr>
        <w:tc>
          <w:tcPr>
            <w:tcW w:type="dxa" w:w="3402"/>
          </w:tcPr>
          <w:p>
            <w:r>
              <w:rPr>
                <w:rFonts w:ascii="Calibri" w:hAnsi="Calibri"/>
                <w:sz w:val="20"/>
              </w:rPr>
              <w:t>What is the data privacy posture?</w:t>
            </w:r>
          </w:p>
        </w:tc>
        <w:tc>
          <w:tcPr>
            <w:tcW w:type="dxa" w:w="5102"/>
          </w:tcPr>
          <w:p>
            <w:r>
              <w:rPr>
                <w:rFonts w:ascii="Calibri" w:hAnsi="Calibri"/>
                <w:sz w:val="20"/>
              </w:rPr>
              <w:t>Privacy policy, data flow diagrams, security controls, retention and deletion procedures.</w:t>
            </w:r>
          </w:p>
        </w:tc>
      </w:tr>
      <w:tr>
        <w:tc>
          <w:tcPr>
            <w:tcW w:type="dxa" w:w="3402"/>
          </w:tcPr>
          <w:p>
            <w:r>
              <w:rPr>
                <w:rFonts w:ascii="Calibri" w:hAnsi="Calibri"/>
                <w:sz w:val="20"/>
              </w:rPr>
              <w:t>How will the team scale?</w:t>
            </w:r>
          </w:p>
        </w:tc>
        <w:tc>
          <w:tcPr>
            <w:tcW w:type="dxa" w:w="5102"/>
          </w:tcPr>
          <w:p>
            <w:r>
              <w:rPr>
                <w:rFonts w:ascii="Calibri" w:hAnsi="Calibri"/>
                <w:sz w:val="20"/>
              </w:rPr>
              <w:t>Hiring plan, role descriptions, expected timeline, compensation bands, advisor support.</w:t>
            </w:r>
          </w:p>
        </w:tc>
      </w:tr>
      <w:tr>
        <w:tc>
          <w:tcPr>
            <w:tcW w:type="dxa" w:w="3402"/>
          </w:tcPr>
          <w:p>
            <w:r>
              <w:rPr>
                <w:rFonts w:ascii="Calibri" w:hAnsi="Calibri"/>
                <w:sz w:val="20"/>
              </w:rPr>
              <w:t>What are the next 3-5 product milestones?</w:t>
            </w:r>
          </w:p>
        </w:tc>
        <w:tc>
          <w:tcPr>
            <w:tcW w:type="dxa" w:w="5102"/>
          </w:tcPr>
          <w:p>
            <w:r>
              <w:rPr>
                <w:rFonts w:ascii="Calibri" w:hAnsi="Calibri"/>
                <w:sz w:val="20"/>
              </w:rPr>
              <w:t>Roadmap with dependencies and measurable success metrics per quarter.</w:t>
            </w:r>
          </w:p>
        </w:tc>
      </w:tr>
      <w:tr>
        <w:tc>
          <w:tcPr>
            <w:tcW w:type="dxa" w:w="3402"/>
          </w:tcPr>
          <w:p>
            <w:r>
              <w:rPr>
                <w:rFonts w:ascii="Calibri" w:hAnsi="Calibri"/>
                <w:sz w:val="20"/>
              </w:rPr>
              <w:t>How will B2B be executed?</w:t>
            </w:r>
          </w:p>
        </w:tc>
        <w:tc>
          <w:tcPr>
            <w:tcW w:type="dxa" w:w="5102"/>
          </w:tcPr>
          <w:p>
            <w:r>
              <w:rPr>
                <w:rFonts w:ascii="Calibri" w:hAnsi="Calibri"/>
                <w:sz w:val="20"/>
              </w:rPr>
              <w:t>Target customer list, pilot structure, pricing tiers, pipeline, partner strategy.</w:t>
            </w:r>
          </w:p>
        </w:tc>
      </w:tr>
    </w:tbl>
    <w:p/>
    <w:p>
      <w:pPr>
        <w:pStyle w:val="Heading1"/>
      </w:pPr>
      <w:r>
        <w:t>References (Company Materials)</w:t>
      </w:r>
    </w:p>
    <w:p>
      <w:pPr>
        <w:pStyle w:val="ListBullet"/>
        <w:spacing w:after="40"/>
        <w:ind w:left="283"/>
      </w:pPr>
      <w:r>
        <w:t>DreamBuZZ Investor Pitch Deck - Series Seed 2026 (Company-provided).</w:t>
      </w:r>
    </w:p>
    <w:p>
      <w:pPr>
        <w:pStyle w:val="ListBullet"/>
        <w:spacing w:after="40"/>
        <w:ind w:left="283"/>
      </w:pPr>
      <w:r>
        <w:t>New Zealand Companies Office - Company Extract for DREAMBUZZ APP LIMITED (Company-provided).</w:t>
      </w:r>
    </w:p>
    <w:p>
      <w:pPr>
        <w:pStyle w:val="ListBullet"/>
        <w:spacing w:after="40"/>
        <w:ind w:left="283"/>
      </w:pPr>
      <w:r>
        <w:t>New Zealand Companies Office - Certificate of Incorporation for DREAMBUZZ APP LIMITED (Company-provided).</w:t>
      </w:r>
    </w:p>
    <w:sectPr w:rsidR="00FC693F" w:rsidRPr="0006063C" w:rsidSect="00034616">
      <w:headerReference w:type="default" r:id="rId9"/>
      <w:footerReference w:type="default" r:id="rId10"/>
      <w:pgSz w:w="12240" w:h="15840"/>
      <w:pgMar w:top="124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CONFIDENTIAL  |  </w:t>
    </w:r>
    <w:fldSimple w:instr="PAGE">
      <w:r>
        <w:rPr>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DreamBuZZ - Confidential Information Memorandum (Seed Round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BTitle">
    <w:name w:val="DB Title"/>
    <w:basedOn w:val="Title"/>
    <w:rPr>
      <w:rFonts w:ascii="Calibri" w:hAnsi="Calibri" w:eastAsia="Calibri"/>
      <w:b/>
      <w:sz w:val="56"/>
    </w:rPr>
  </w:style>
  <w:style w:type="paragraph" w:customStyle="1" w:styleId="DBSubtitle">
    <w:name w:val="DB Subtitle"/>
    <w:basedOn w:val="Subtitle"/>
    <w:rPr>
      <w:rFonts w:ascii="Calibri" w:hAnsi="Calibri" w:eastAsia="Calibri"/>
      <w:i w:val="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